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A" w:rsidRPr="008436AF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F0C30" w:rsidRPr="008436AF" w:rsidRDefault="006014EE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135</w:t>
      </w:r>
      <w:r w:rsidR="00832F1E" w:rsidRPr="00843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F1E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F94EA7" w:rsidRPr="008436AF">
        <w:rPr>
          <w:rFonts w:ascii="Times New Roman" w:hAnsi="Times New Roman" w:cs="Times New Roman"/>
          <w:sz w:val="24"/>
          <w:szCs w:val="24"/>
        </w:rPr>
        <w:t>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 xml:space="preserve">, 24/2018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6B53" w:rsidRPr="008436AF">
        <w:rPr>
          <w:rFonts w:ascii="Times New Roman" w:hAnsi="Times New Roman" w:cs="Times New Roman"/>
          <w:sz w:val="24"/>
          <w:szCs w:val="24"/>
        </w:rPr>
        <w:t xml:space="preserve">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ičlana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D91849" w:rsidRPr="008436A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popunjavanje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mesta</w:t>
      </w:r>
      <w:proofErr w:type="gramEnd"/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oglašava</w:t>
      </w: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6014EE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</w:t>
      </w:r>
      <w:r w:rsidR="005F6E81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POPUNјAVANјE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IZVRŠILAČK</w:t>
      </w:r>
      <w:r w:rsidR="00CB207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378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</w:p>
    <w:p w:rsidR="005F6E81" w:rsidRPr="008436AF" w:rsidRDefault="00041C02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4EE">
        <w:rPr>
          <w:rFonts w:ascii="Times New Roman" w:hAnsi="Times New Roman" w:cs="Times New Roman"/>
          <w:b/>
          <w:sz w:val="24"/>
          <w:szCs w:val="24"/>
        </w:rPr>
        <w:t>POLICIJSKIH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4EE">
        <w:rPr>
          <w:rFonts w:ascii="Times New Roman" w:hAnsi="Times New Roman" w:cs="Times New Roman"/>
          <w:b/>
          <w:sz w:val="24"/>
          <w:szCs w:val="24"/>
        </w:rPr>
        <w:t>SLUŽBENIKA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uradna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mesta</w:t>
      </w:r>
      <w:proofErr w:type="gramEnd"/>
      <w:r w:rsidR="008F6EB7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8F6EB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832F1E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832F1E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Bulevar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Zorana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Đinđića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104,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</w:p>
    <w:p w:rsidR="000D677D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AA11FB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AA11FB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5E0E7F" w:rsidRPr="00223DE2" w:rsidRDefault="000144B8" w:rsidP="00A07786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glavni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službenik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upravlјanje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sistemom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plata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naknadne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štete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proistekle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radnog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odnosa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b/>
                <w:sz w:val="24"/>
                <w:szCs w:val="24"/>
              </w:rPr>
              <w:t>statusa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Odsek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Odelјenje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plate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beneficije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lјudske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(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izvršilac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utvrđeno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rednim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brojem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08.7.1.2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unutrašnjem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uređenju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sistematizaciji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radnih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Ministarstvu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unutrašnjih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EE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odnosa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>: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pripravnika</w:t>
      </w:r>
      <w:r w:rsidR="00CE65F9" w:rsidRPr="008436AF">
        <w:rPr>
          <w:rFonts w:ascii="Times New Roman" w:hAnsi="Times New Roman" w:cs="Times New Roman"/>
          <w:sz w:val="24"/>
          <w:szCs w:val="24"/>
        </w:rPr>
        <w:t>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8436AF" w:rsidRDefault="006014EE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631DC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</w:t>
      </w:r>
      <w:r w:rsidR="00631DC0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A07786" w:rsidRDefault="00A07786" w:rsidP="00A077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B6171" w:rsidRPr="005B6171" w:rsidRDefault="006014EE" w:rsidP="005B617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Obavlјa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stručne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zadatke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koji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zahtevaju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stručnu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obradu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prikuplјenih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podataka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njihovo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tumačenje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primenu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utvrđenih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metoda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procedura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Posao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može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zahteva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prikuplјanje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informacija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istraživanje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ili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analizu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izvestan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stepen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kreativnosti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rešavanju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problema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ili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situacija</w:t>
      </w:r>
      <w:r w:rsid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koje</w:t>
      </w:r>
      <w:r w:rsid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nastaju</w:t>
      </w:r>
      <w:r w:rsid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relativno</w:t>
      </w:r>
      <w:r w:rsid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često</w:t>
      </w:r>
    </w:p>
    <w:p w:rsidR="005B6171" w:rsidRPr="005B6171" w:rsidRDefault="005B6171" w:rsidP="005B6171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izrađuje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sprovodi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prati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izveštava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relazaciji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sistema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plata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naknada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štete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proistekle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odnosa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radno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pravnog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statusa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učestvuje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izradi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normativnog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okvira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oblasti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upravlјanja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sistemom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plata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naknada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štete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proistekle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odnosa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radno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pravnog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statusa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analizira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razvija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strukturu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plate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koeficijenta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plate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naknada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štete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proistekle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odnosa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radno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pravnog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statusa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sprovodi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postupak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izrađuje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nacrte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upravnih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drugih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akata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delokruga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prati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propise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praks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stavove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mišlјenja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drugih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organa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organizacijaiz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delokruga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daje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predloge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organizaciono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normativno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unapređenje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delokruga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usvaja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principe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nove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metode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tehnike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primenjuje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iskustva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najbolјih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primera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prakse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oblasti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priprema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podatke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neophodne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izradu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nacrta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predloga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propisa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opštih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akata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delokruga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sprovodi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prati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primenu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zakonskih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podzakonskih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propisa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internih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obavezujućih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akata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strateških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dokumenata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iz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delokruga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rada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neposredno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učestvuje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unapređenju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stručne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osposoblјenosti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zaposlenih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uspešan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kvalitetan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rad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uslovima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primene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savremenih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sredstava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metoda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riprema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izrađuje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evidencije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analize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izveštaje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informacije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skladu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zahtevima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posla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stepenom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obrazovanja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odlaže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čuva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arhivira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dokumentaciju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skladu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propisima</w:t>
      </w:r>
      <w:r w:rsidR="005B6171" w:rsidRPr="005B6171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5B6171" w:rsidRPr="005B6171" w:rsidRDefault="006014EE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obavlјa</w:t>
      </w:r>
      <w:proofErr w:type="gramEnd"/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druge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unutrašnje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poslove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neposrednoj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vezi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policijskim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poslovima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stave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zadatak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nalogu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nadređenog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rukovodioca</w:t>
      </w:r>
      <w:r w:rsidR="005B6171" w:rsidRPr="005B6171">
        <w:rPr>
          <w:rFonts w:ascii="Times New Roman" w:hAnsi="Times New Roman"/>
          <w:color w:val="000000"/>
          <w:sz w:val="24"/>
          <w:szCs w:val="24"/>
        </w:rPr>
        <w:t>.</w:t>
      </w:r>
    </w:p>
    <w:p w:rsidR="005B6171" w:rsidRPr="008F5224" w:rsidRDefault="005B6171" w:rsidP="005B6171">
      <w:pPr>
        <w:pStyle w:val="NoSpacing"/>
        <w:rPr>
          <w:rFonts w:ascii="Times New Roman" w:hAnsi="Times New Roman"/>
          <w:color w:val="000000"/>
        </w:rPr>
      </w:pPr>
    </w:p>
    <w:p w:rsidR="00A07786" w:rsidRPr="00A07786" w:rsidRDefault="00A07786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7DA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A07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Pr="008436AF" w:rsidRDefault="006014EE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studijama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stepena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akademske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specijalističke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D345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obimu</w:t>
      </w:r>
      <w:r w:rsidR="00D34564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D345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3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okviru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obrazovno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‒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polјa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društveno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humanističke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nauke</w:t>
      </w:r>
      <w:r w:rsidR="00D345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tehničko</w:t>
      </w:r>
      <w:r w:rsidR="00D345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tehnološke</w:t>
      </w:r>
      <w:r w:rsidR="00D34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nauke</w:t>
      </w:r>
      <w:r w:rsidR="00D34564">
        <w:rPr>
          <w:rFonts w:ascii="Times New Roman" w:eastAsia="Calibri" w:hAnsi="Times New Roman" w:cs="Times New Roman"/>
          <w:sz w:val="24"/>
          <w:szCs w:val="24"/>
        </w:rPr>
        <w:t>,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interdisciplinarne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multidisciplinarne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transdisciplinarne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IMT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dvopredmetne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studije</w:t>
      </w:r>
      <w:r w:rsidR="00C407DA" w:rsidRPr="008436AF">
        <w:rPr>
          <w:rFonts w:ascii="Times New Roman" w:hAnsi="Times New Roman" w:cs="Times New Roman"/>
          <w:sz w:val="24"/>
          <w:szCs w:val="24"/>
        </w:rPr>
        <w:t>.</w:t>
      </w:r>
    </w:p>
    <w:p w:rsidR="00C407DA" w:rsidRPr="008436AF" w:rsidRDefault="006014EE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</w:t>
      </w:r>
      <w:r w:rsidR="00C407DA" w:rsidRPr="008436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polјa</w:t>
      </w:r>
      <w:r w:rsidR="00C407DA" w:rsidRPr="008436AF">
        <w:rPr>
          <w:rFonts w:ascii="Times New Roman" w:hAnsi="Times New Roman" w:cs="Times New Roman"/>
          <w:sz w:val="24"/>
          <w:szCs w:val="24"/>
        </w:rPr>
        <w:t>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6014EE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Kandidati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moraju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opšte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državnim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organima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predviđene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posebne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propisane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policiji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138.)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Pravilnikom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unutrašnjem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sistematizaciji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radnih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mesta</w:t>
      </w:r>
      <w:proofErr w:type="gramEnd"/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unutrašnjih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izbornom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proveravaju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Formalno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uvidom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raspoložive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pisanim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konkretnog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zadatka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studija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Psihološki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bazične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standardizovanim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testovima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obavlјanjem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lekarskog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referentnoj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zdravstvenoj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ustanovi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677D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polustrukturisanim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04" w:rsidRPr="008436AF" w:rsidRDefault="006014EE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osposoblјenost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proveravaju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ocenjuju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izbornom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znanje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opisom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poznavanje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lјudskih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3456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opštem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upravnom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D34564">
        <w:rPr>
          <w:rFonts w:ascii="Times New Roman" w:hAnsi="Times New Roman" w:cs="Times New Roman"/>
          <w:sz w:val="24"/>
          <w:szCs w:val="24"/>
        </w:rPr>
        <w:t>,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državnim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službenicima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opštih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regulišu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A0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D34564">
        <w:rPr>
          <w:rFonts w:ascii="Times New Roman" w:hAnsi="Times New Roman" w:cs="Times New Roman"/>
          <w:sz w:val="24"/>
          <w:szCs w:val="24"/>
        </w:rPr>
        <w:t>.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6014EE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 w:rsidR="00F569F1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oglašavanja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>09.09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6014EE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objavlјuje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gramStart"/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periodičnom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izdanju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zapošlјavanje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6014EE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podnošenje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prijava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javni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6014EE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objavlјivanja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gramStart"/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počinje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objavlјen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014EE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gramEnd"/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koju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podnose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Bulevar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Đinđića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104, 11070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pisarnica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SIV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''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obavezno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navesti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redni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zaduženo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davanje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obaveštenja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  <w:proofErr w:type="gramStart"/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Stefani</w:t>
      </w:r>
      <w:proofErr w:type="gramEnd"/>
      <w:r w:rsidR="00365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Cako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</w:t>
      </w:r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3-82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57B" w:rsidRPr="008436A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86" w:rsidRDefault="00A0778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7786" w:rsidRDefault="00A0778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BB6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Dokazi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prilažu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prijavu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6014EE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="00662CB3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prijave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čini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sastavni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neophodno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popuniti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svojeručno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</w:t>
      </w:r>
      <w:r w:rsidR="00E461C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biografija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stečenom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uslovom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riginal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državlјanstvu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Očitana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čipom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čipovana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6014EE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knjižice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Centralnog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penzijsko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6014EE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spremom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6014EE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osposoblјavanju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6585" w:rsidRPr="008436AF" w:rsidRDefault="006014EE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76519D" w:rsidRPr="008436AF" w:rsidRDefault="006014EE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5B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Default="006014E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opredelјuje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pribaviti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činjenicama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6014EE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B1181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izjave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neophodno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6014EE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beležnika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beležnici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prilož</w:t>
      </w:r>
      <w:r w:rsidR="00AD2010" w:rsidRPr="008436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prijemnim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01.03.2017.</w:t>
      </w:r>
      <w:proofErr w:type="gramEnd"/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AD2010" w:rsidRPr="008436AF">
        <w:rPr>
          <w:rFonts w:ascii="Times New Roman" w:hAnsi="Times New Roman" w:cs="Times New Roman"/>
          <w:sz w:val="24"/>
          <w:szCs w:val="24"/>
        </w:rPr>
        <w:t>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6014EE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otpočinjanja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izbornog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0CA6">
        <w:rPr>
          <w:rFonts w:ascii="Times New Roman" w:hAnsi="Times New Roman" w:cs="Times New Roman"/>
          <w:sz w:val="24"/>
          <w:szCs w:val="24"/>
        </w:rPr>
        <w:t>24.09</w:t>
      </w:r>
      <w:r w:rsidR="0036547C">
        <w:rPr>
          <w:rFonts w:ascii="Times New Roman" w:hAnsi="Times New Roman" w:cs="Times New Roman"/>
          <w:sz w:val="24"/>
          <w:szCs w:val="24"/>
        </w:rPr>
        <w:t>.2020.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r w:rsidR="00F56585" w:rsidRPr="00843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Ovim</w:t>
      </w:r>
      <w:proofErr w:type="gramEnd"/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ušli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F56585" w:rsidRPr="008436AF">
        <w:rPr>
          <w:rFonts w:ascii="Times New Roman" w:hAnsi="Times New Roman" w:cs="Times New Roman"/>
          <w:sz w:val="24"/>
          <w:szCs w:val="24"/>
        </w:rPr>
        <w:t>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6014EE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DB1181" w:rsidRDefault="006014EE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izvod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rođenih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državlјanstvu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imaprijavlјeno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8436AF" w:rsidRDefault="006014EE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Odredbom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95/2018-</w:t>
      </w:r>
      <w:r>
        <w:rPr>
          <w:rFonts w:ascii="Times New Roman" w:eastAsia="Times New Roman" w:hAnsi="Times New Roman" w:cs="Times New Roman"/>
          <w:sz w:val="24"/>
          <w:szCs w:val="24"/>
        </w:rPr>
        <w:t>autentično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tumačenje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ostalog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pribavlјa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obrađuje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izričito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pribaviti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neurednim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3.)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6014EE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učesnik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opredelјuje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6014EE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Preporuka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učesnik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dostavi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neophodnu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dokumentaciju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cilјu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bržeg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efikasnijeg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sprovođenja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6014EE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Neblagovremene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nedopuštene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nerazumlјivei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odbačene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="00AD2010" w:rsidRPr="008436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6014EE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pojmovi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imenice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pridevi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glagoli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upotreblјeni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gramatičkom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757" w:rsidRPr="008436AF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6014EE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PRIJAVA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POPUNU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POLICIJSKOG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SLUŽBENIKA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UNUTRAŠNјIH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OGLASU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organizacione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jedinice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kojoj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popunjava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LIČNI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JMBG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prebivališta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boravišta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ESPB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RADNOM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ISKUSTVU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824"/>
        <w:gridCol w:w="2284"/>
        <w:gridCol w:w="4026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poslodavca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Dužina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trajanja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staža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obavlјaju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STRUČNOM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USAVRŠAVANјU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POSEBNIM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ZNANјA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obuka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sertifikat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poznavanje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stranog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jezika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računaru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PRILOŽENA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4EE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6014E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Podnosilac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6014EE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6014E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podnosioca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proofErr w:type="gramStart"/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proofErr w:type="gramEnd"/>
      <w:r w:rsidR="008436AF" w:rsidRPr="00FC78DC">
        <w:rPr>
          <w:rFonts w:ascii="Times New Roman" w:hAnsi="Times New Roman" w:cs="Times New Roman"/>
        </w:rPr>
        <w:t xml:space="preserve"> 87/18)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18/2016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95/2018-</w:t>
      </w:r>
      <w:r>
        <w:rPr>
          <w:rFonts w:ascii="Times New Roman" w:hAnsi="Times New Roman" w:cs="Times New Roman"/>
        </w:rPr>
        <w:t>autentično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tumačenje</w:t>
      </w:r>
      <w:r w:rsidR="008436AF" w:rsidRPr="00FC78D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dajem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kojom</w:t>
      </w:r>
      <w:proofErr w:type="gramEnd"/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pristajem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svrhu</w:t>
      </w:r>
      <w:r w:rsidR="008436AF" w:rsidRPr="00FC78DC">
        <w:rPr>
          <w:rFonts w:ascii="Times New Roman" w:hAnsi="Times New Roman" w:cs="Times New Roman"/>
          <w:b/>
        </w:rPr>
        <w:t xml:space="preserve">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1.  * </w:t>
      </w:r>
      <w:r w:rsidR="006014EE">
        <w:rPr>
          <w:rFonts w:ascii="Times New Roman" w:hAnsi="Times New Roman" w:cs="Times New Roman"/>
        </w:rPr>
        <w:t>sam</w:t>
      </w:r>
      <w:r w:rsidRPr="00FC78DC">
        <w:rPr>
          <w:rFonts w:ascii="Times New Roman" w:hAnsi="Times New Roman" w:cs="Times New Roman"/>
        </w:rPr>
        <w:t>/</w:t>
      </w:r>
      <w:r w:rsidR="006014EE">
        <w:rPr>
          <w:rFonts w:ascii="Times New Roman" w:hAnsi="Times New Roman" w:cs="Times New Roman"/>
        </w:rPr>
        <w:t>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pribavlјam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sledeću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dokumentaciju</w:t>
      </w:r>
      <w:r w:rsidRPr="00FC78DC">
        <w:rPr>
          <w:rFonts w:ascii="Times New Roman" w:hAnsi="Times New Roman" w:cs="Times New Roman"/>
        </w:rPr>
        <w:t xml:space="preserve"> (</w:t>
      </w:r>
      <w:r w:rsidR="006014EE">
        <w:rPr>
          <w:rFonts w:ascii="Times New Roman" w:hAnsi="Times New Roman" w:cs="Times New Roman"/>
        </w:rPr>
        <w:t>dokaze</w:t>
      </w:r>
      <w:r w:rsidRPr="00FC78DC">
        <w:rPr>
          <w:rFonts w:ascii="Times New Roman" w:hAnsi="Times New Roman" w:cs="Times New Roman"/>
        </w:rPr>
        <w:t xml:space="preserve">), </w:t>
      </w:r>
      <w:r w:rsidR="006014E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ED783F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ED783F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ED783F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ED783F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 xml:space="preserve">2. ** </w:t>
      </w:r>
      <w:r w:rsidR="006014E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moj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koristi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isklјučivo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svrhu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prikuplјanja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dokumentacije</w:t>
      </w:r>
      <w:r w:rsidRPr="00FC78DC">
        <w:rPr>
          <w:rFonts w:ascii="Times New Roman" w:hAnsi="Times New Roman" w:cs="Times New Roman"/>
        </w:rPr>
        <w:t xml:space="preserve"> (</w:t>
      </w:r>
      <w:r w:rsidR="006014EE">
        <w:rPr>
          <w:rFonts w:ascii="Times New Roman" w:hAnsi="Times New Roman" w:cs="Times New Roman"/>
        </w:rPr>
        <w:t>dokaza</w:t>
      </w:r>
      <w:r w:rsidRPr="00FC78DC">
        <w:rPr>
          <w:rFonts w:ascii="Times New Roman" w:hAnsi="Times New Roman" w:cs="Times New Roman"/>
        </w:rPr>
        <w:t xml:space="preserve">), </w:t>
      </w:r>
      <w:r w:rsidR="006014EE">
        <w:rPr>
          <w:rFonts w:ascii="Times New Roman" w:hAnsi="Times New Roman" w:cs="Times New Roman"/>
        </w:rPr>
        <w:t>koju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Ministarstvo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unutrašnjih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poslova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iz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službenih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</w:t>
      </w:r>
      <w:r w:rsidR="006014EE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</w:t>
      </w:r>
      <w:proofErr w:type="gramStart"/>
      <w:r w:rsidR="006014EE">
        <w:rPr>
          <w:rFonts w:ascii="Times New Roman" w:hAnsi="Times New Roman" w:cs="Times New Roman"/>
        </w:rPr>
        <w:t>potpis</w:t>
      </w:r>
      <w:proofErr w:type="gramEnd"/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</w:t>
      </w:r>
      <w:proofErr w:type="gramStart"/>
      <w:r w:rsidR="006014EE">
        <w:rPr>
          <w:rFonts w:ascii="Times New Roman" w:hAnsi="Times New Roman" w:cs="Times New Roman"/>
        </w:rPr>
        <w:t>mesto</w:t>
      </w:r>
      <w:proofErr w:type="gramEnd"/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datum</w:t>
      </w:r>
      <w:r w:rsidRPr="00FC78DC">
        <w:rPr>
          <w:rFonts w:ascii="Times New Roman" w:hAnsi="Times New Roman" w:cs="Times New Roman"/>
        </w:rPr>
        <w:t>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6014E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zaokružiti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ispred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opcije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navesti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* </w:t>
      </w:r>
      <w:r w:rsidR="006014EE">
        <w:rPr>
          <w:rFonts w:ascii="Times New Roman" w:hAnsi="Times New Roman" w:cs="Times New Roman"/>
        </w:rPr>
        <w:t>Odredbom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člana</w:t>
      </w:r>
      <w:r w:rsidRPr="00FC78DC">
        <w:rPr>
          <w:rFonts w:ascii="Times New Roman" w:hAnsi="Times New Roman" w:cs="Times New Roman"/>
        </w:rPr>
        <w:t xml:space="preserve"> 9. </w:t>
      </w:r>
      <w:proofErr w:type="gramStart"/>
      <w:r w:rsidR="006014EE">
        <w:rPr>
          <w:rFonts w:ascii="Times New Roman" w:hAnsi="Times New Roman" w:cs="Times New Roman"/>
        </w:rPr>
        <w:t>i</w:t>
      </w:r>
      <w:proofErr w:type="gramEnd"/>
      <w:r w:rsidRPr="00FC78DC">
        <w:rPr>
          <w:rFonts w:ascii="Times New Roman" w:hAnsi="Times New Roman" w:cs="Times New Roman"/>
        </w:rPr>
        <w:t xml:space="preserve"> 103. </w:t>
      </w:r>
      <w:r w:rsidR="006014EE">
        <w:rPr>
          <w:rFonts w:ascii="Times New Roman" w:hAnsi="Times New Roman" w:cs="Times New Roman"/>
        </w:rPr>
        <w:t>Zakona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opštem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upravnom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propisano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između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ostalog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koji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pokreće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zahtevu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stranke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organ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može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vrši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uvid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obrađuje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činjenicama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kojima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vodi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službena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kada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neophodno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osim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izričito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izjavi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proofErr w:type="gramStart"/>
      <w:r w:rsidR="006014EE">
        <w:rPr>
          <w:rFonts w:ascii="Times New Roman" w:hAnsi="Times New Roman" w:cs="Times New Roman"/>
        </w:rPr>
        <w:t>će</w:t>
      </w:r>
      <w:proofErr w:type="gramEnd"/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pribaviti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sama</w:t>
      </w:r>
      <w:r w:rsidRPr="00FC78DC">
        <w:rPr>
          <w:rFonts w:ascii="Times New Roman" w:hAnsi="Times New Roman" w:cs="Times New Roman"/>
        </w:rPr>
        <w:t xml:space="preserve">. </w:t>
      </w:r>
      <w:r w:rsidR="006014EE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roku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ne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podnese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neophodne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organa</w:t>
      </w:r>
      <w:r w:rsidRPr="00FC78DC">
        <w:rPr>
          <w:rFonts w:ascii="Times New Roman" w:hAnsi="Times New Roman" w:cs="Times New Roman"/>
        </w:rPr>
        <w:t xml:space="preserve">, </w:t>
      </w:r>
      <w:r w:rsidR="006014EE">
        <w:rPr>
          <w:rFonts w:ascii="Times New Roman" w:hAnsi="Times New Roman" w:cs="Times New Roman"/>
        </w:rPr>
        <w:t>zahtev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pokretanje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postupka</w:t>
      </w:r>
      <w:r w:rsidRPr="00FC78DC">
        <w:rPr>
          <w:rFonts w:ascii="Times New Roman" w:hAnsi="Times New Roman" w:cs="Times New Roman"/>
        </w:rPr>
        <w:t xml:space="preserve"> </w:t>
      </w:r>
      <w:proofErr w:type="gramStart"/>
      <w:r w:rsidR="006014EE">
        <w:rPr>
          <w:rFonts w:ascii="Times New Roman" w:hAnsi="Times New Roman" w:cs="Times New Roman"/>
        </w:rPr>
        <w:t>će</w:t>
      </w:r>
      <w:proofErr w:type="gramEnd"/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smatrati</w:t>
      </w:r>
      <w:r w:rsidRPr="00FC78DC">
        <w:rPr>
          <w:rFonts w:ascii="Times New Roman" w:hAnsi="Times New Roman" w:cs="Times New Roman"/>
        </w:rPr>
        <w:t xml:space="preserve"> </w:t>
      </w:r>
      <w:r w:rsidR="006014EE">
        <w:rPr>
          <w:rFonts w:ascii="Times New Roman" w:hAnsi="Times New Roman" w:cs="Times New Roman"/>
        </w:rPr>
        <w:t>neurednim</w:t>
      </w:r>
      <w:r w:rsidRPr="00FC78DC">
        <w:rPr>
          <w:rFonts w:ascii="Times New Roman" w:hAnsi="Times New Roman" w:cs="Times New Roman"/>
        </w:rPr>
        <w:t xml:space="preserve"> (</w:t>
      </w:r>
      <w:r w:rsidR="006014EE">
        <w:rPr>
          <w:rFonts w:ascii="Times New Roman" w:hAnsi="Times New Roman" w:cs="Times New Roman"/>
        </w:rPr>
        <w:t>član</w:t>
      </w:r>
      <w:r w:rsidRPr="00FC78DC">
        <w:rPr>
          <w:rFonts w:ascii="Times New Roman" w:hAnsi="Times New Roman" w:cs="Times New Roman"/>
        </w:rPr>
        <w:t xml:space="preserve"> 103. </w:t>
      </w:r>
      <w:r w:rsidR="006014EE">
        <w:rPr>
          <w:rFonts w:ascii="Times New Roman" w:hAnsi="Times New Roman" w:cs="Times New Roman"/>
        </w:rPr>
        <w:t>stav</w:t>
      </w:r>
      <w:r w:rsidRPr="00FC78DC">
        <w:rPr>
          <w:rFonts w:ascii="Times New Roman" w:hAnsi="Times New Roman" w:cs="Times New Roman"/>
        </w:rPr>
        <w:t xml:space="preserve">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="006014EE">
        <w:rPr>
          <w:rFonts w:ascii="Times New Roman" w:hAnsi="Times New Roman" w:cs="Times New Roman"/>
          <w:lang w:val="sr-Cyrl-CS"/>
        </w:rPr>
        <w:t>Saglasno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odredbi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člana</w:t>
      </w:r>
      <w:r w:rsidRPr="00FC78DC">
        <w:rPr>
          <w:rFonts w:ascii="Times New Roman" w:hAnsi="Times New Roman" w:cs="Times New Roman"/>
          <w:lang w:val="sr-Cyrl-CS"/>
        </w:rPr>
        <w:t xml:space="preserve"> 12. </w:t>
      </w:r>
      <w:r w:rsidR="006014EE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6014EE">
        <w:rPr>
          <w:rFonts w:ascii="Times New Roman" w:hAnsi="Times New Roman" w:cs="Times New Roman"/>
          <w:lang w:val="sr-Cyrl-CS"/>
        </w:rPr>
        <w:t>tačka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6014EE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zaštiti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obrada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zakonita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samo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ako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pristalo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obradu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svojih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za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jednu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ili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više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posebno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određenih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svrha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dok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članom</w:t>
      </w:r>
      <w:r w:rsidRPr="00FC78DC">
        <w:rPr>
          <w:rFonts w:ascii="Times New Roman" w:hAnsi="Times New Roman" w:cs="Times New Roman"/>
          <w:lang w:val="sr-Cyrl-CS"/>
        </w:rPr>
        <w:t xml:space="preserve"> 15. </w:t>
      </w:r>
      <w:r w:rsidR="006014EE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3. </w:t>
      </w:r>
      <w:r w:rsidR="006014EE">
        <w:rPr>
          <w:rFonts w:ascii="Times New Roman" w:hAnsi="Times New Roman" w:cs="Times New Roman"/>
          <w:lang w:val="sr-Cyrl-CS"/>
        </w:rPr>
        <w:t>istog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između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ostalog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ima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</w:rPr>
        <w:t>p</w:t>
      </w:r>
      <w:r w:rsidR="006014EE">
        <w:rPr>
          <w:rFonts w:ascii="Times New Roman" w:hAnsi="Times New Roman" w:cs="Times New Roman"/>
          <w:lang w:val="sr-Cyrl-CS"/>
        </w:rPr>
        <w:t>ravo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opozove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pristanak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svakom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trenutku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014EE">
        <w:rPr>
          <w:rFonts w:ascii="Times New Roman" w:hAnsi="Times New Roman" w:cs="Times New Roman"/>
          <w:lang w:val="sr-Cyrl-CS"/>
        </w:rPr>
        <w:t>ali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opoziv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ne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utiče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dopuštenost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obrade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koja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vršena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osnovu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pristanka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pre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014EE">
        <w:rPr>
          <w:rFonts w:ascii="Times New Roman" w:hAnsi="Times New Roman" w:cs="Times New Roman"/>
          <w:lang w:val="sr-Cyrl-CS"/>
        </w:rPr>
        <w:t>opoziva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3400E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B56CD"/>
    <w:multiLevelType w:val="hybridMultilevel"/>
    <w:tmpl w:val="885A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828DE"/>
    <w:multiLevelType w:val="hybridMultilevel"/>
    <w:tmpl w:val="FAC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76623"/>
    <w:multiLevelType w:val="hybridMultilevel"/>
    <w:tmpl w:val="4C5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5"/>
  </w:num>
  <w:num w:numId="5">
    <w:abstractNumId w:val="26"/>
  </w:num>
  <w:num w:numId="6">
    <w:abstractNumId w:val="17"/>
  </w:num>
  <w:num w:numId="7">
    <w:abstractNumId w:val="12"/>
  </w:num>
  <w:num w:numId="8">
    <w:abstractNumId w:val="23"/>
  </w:num>
  <w:num w:numId="9">
    <w:abstractNumId w:val="22"/>
  </w:num>
  <w:num w:numId="10">
    <w:abstractNumId w:val="28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20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</w:num>
  <w:num w:numId="22">
    <w:abstractNumId w:val="18"/>
  </w:num>
  <w:num w:numId="23">
    <w:abstractNumId w:val="15"/>
  </w:num>
  <w:num w:numId="24">
    <w:abstractNumId w:val="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19"/>
  </w:num>
  <w:num w:numId="32">
    <w:abstractNumId w:val="27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0"/>
    <w:rsid w:val="000144B8"/>
    <w:rsid w:val="00021330"/>
    <w:rsid w:val="00025C1C"/>
    <w:rsid w:val="0003400E"/>
    <w:rsid w:val="000357DC"/>
    <w:rsid w:val="00041C02"/>
    <w:rsid w:val="00044DEA"/>
    <w:rsid w:val="00062E0F"/>
    <w:rsid w:val="00067904"/>
    <w:rsid w:val="00080CA6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3D0D"/>
    <w:rsid w:val="0035762A"/>
    <w:rsid w:val="00360DD1"/>
    <w:rsid w:val="0036547C"/>
    <w:rsid w:val="00373D1C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2768A"/>
    <w:rsid w:val="005378C8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B6171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4EE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47A7"/>
    <w:rsid w:val="00694409"/>
    <w:rsid w:val="00696DDD"/>
    <w:rsid w:val="006A5722"/>
    <w:rsid w:val="006B13A9"/>
    <w:rsid w:val="006B693B"/>
    <w:rsid w:val="006C267D"/>
    <w:rsid w:val="006E62C2"/>
    <w:rsid w:val="006E7AF7"/>
    <w:rsid w:val="006F1FD7"/>
    <w:rsid w:val="006F6469"/>
    <w:rsid w:val="00701A6E"/>
    <w:rsid w:val="00713E7B"/>
    <w:rsid w:val="00715ED6"/>
    <w:rsid w:val="007210F6"/>
    <w:rsid w:val="00730025"/>
    <w:rsid w:val="00735862"/>
    <w:rsid w:val="00746637"/>
    <w:rsid w:val="007573D4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27EC"/>
    <w:rsid w:val="009E28B2"/>
    <w:rsid w:val="00A007B9"/>
    <w:rsid w:val="00A03B06"/>
    <w:rsid w:val="00A07786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5466E"/>
    <w:rsid w:val="00B7408B"/>
    <w:rsid w:val="00B805EF"/>
    <w:rsid w:val="00B81FB9"/>
    <w:rsid w:val="00B862C2"/>
    <w:rsid w:val="00B86B93"/>
    <w:rsid w:val="00BA3061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35BD7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D783F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84053"/>
    <w:rsid w:val="00F85D68"/>
    <w:rsid w:val="00F94EA7"/>
    <w:rsid w:val="00F95E78"/>
    <w:rsid w:val="00FA1A06"/>
    <w:rsid w:val="00FB25E0"/>
    <w:rsid w:val="00FB34E6"/>
    <w:rsid w:val="00FB6918"/>
    <w:rsid w:val="00FC1556"/>
    <w:rsid w:val="00FC56A0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73F6-E1D3-4CEA-AE9A-CAB64E7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12516</Characters>
  <Application>Microsoft Office Word</Application>
  <DocSecurity>0</DocSecurity>
  <Lines>568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nadezda.cantrak</cp:lastModifiedBy>
  <cp:revision>2</cp:revision>
  <cp:lastPrinted>2020-09-07T09:07:00Z</cp:lastPrinted>
  <dcterms:created xsi:type="dcterms:W3CDTF">2020-09-09T07:06:00Z</dcterms:created>
  <dcterms:modified xsi:type="dcterms:W3CDTF">2020-09-09T07:06:00Z</dcterms:modified>
</cp:coreProperties>
</file>