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A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A44EA" w:rsidRPr="002A44EA" w:rsidRDefault="002A44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0" w:rsidRPr="008436AF" w:rsidRDefault="00A25A4E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A2F21" w:rsidRPr="008436AF">
        <w:rPr>
          <w:rFonts w:ascii="Times New Roman" w:hAnsi="Times New Roman" w:cs="Times New Roman"/>
          <w:sz w:val="24"/>
          <w:szCs w:val="24"/>
        </w:rPr>
        <w:t xml:space="preserve">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94EA7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F94EA7" w:rsidRPr="008436AF">
        <w:rPr>
          <w:rFonts w:ascii="Times New Roman" w:hAnsi="Times New Roman" w:cs="Times New Roman"/>
          <w:sz w:val="24"/>
          <w:szCs w:val="24"/>
        </w:rPr>
        <w:t>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, 24/2018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6B53" w:rsidRPr="008436AF">
        <w:rPr>
          <w:rFonts w:ascii="Times New Roman" w:hAnsi="Times New Roman" w:cs="Times New Roman"/>
          <w:sz w:val="24"/>
          <w:szCs w:val="24"/>
        </w:rPr>
        <w:t xml:space="preserve">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 2,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popunjavanje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5F6E81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oglašava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A25A4E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5F6E81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IZVRŠILAČKOG</w:t>
      </w:r>
      <w:r w:rsidR="00CF6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5F6E81" w:rsidRPr="008436AF" w:rsidRDefault="007061BF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b/>
          <w:sz w:val="24"/>
          <w:szCs w:val="24"/>
        </w:rPr>
        <w:t>POLICIJSKOG</w:t>
      </w:r>
      <w:r w:rsidR="00041C02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83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radna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8F6EB7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832F1E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Bulevar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Zorana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Đinđića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 104,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D05D3F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</w:p>
    <w:p w:rsidR="000D677D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AA11FB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6838EB" w:rsidRDefault="000144B8" w:rsidP="006838EB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25A4E">
              <w:rPr>
                <w:rFonts w:ascii="Times New Roman" w:hAnsi="Times New Roman" w:cs="Times New Roman"/>
                <w:b/>
                <w:sz w:val="24"/>
                <w:szCs w:val="24"/>
              </w:rPr>
              <w:t>glavni</w:t>
            </w:r>
            <w:r w:rsidR="0068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b/>
                <w:sz w:val="24"/>
                <w:szCs w:val="24"/>
              </w:rPr>
              <w:t>službenik</w:t>
            </w:r>
            <w:r w:rsidR="0068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68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b/>
                <w:sz w:val="24"/>
                <w:szCs w:val="24"/>
              </w:rPr>
              <w:t>radne</w:t>
            </w:r>
            <w:r w:rsidR="0068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b/>
                <w:sz w:val="24"/>
                <w:szCs w:val="24"/>
              </w:rPr>
              <w:t>odnose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Odsek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Odelјenje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pravne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4E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E7F" w:rsidRPr="00223DE2" w:rsidRDefault="00A25A4E" w:rsidP="006838EB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lјudske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>- 5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0144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izvršilaca</w:t>
            </w:r>
            <w:r w:rsidR="00014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utvrđeno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rednim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brojem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08.6.1.2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uređenju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sistematizaciji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Ministarstvu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unutrašnjih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odnosa</w:t>
      </w:r>
      <w:r w:rsidR="00CE65F9" w:rsidRPr="008436AF">
        <w:rPr>
          <w:rFonts w:ascii="Times New Roman" w:hAnsi="Times New Roman" w:cs="Times New Roman"/>
          <w:b/>
          <w:sz w:val="24"/>
          <w:szCs w:val="24"/>
        </w:rPr>
        <w:t>: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CE65F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pripravnika</w:t>
      </w:r>
      <w:r w:rsidR="00CE65F9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A25A4E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</w:t>
      </w:r>
      <w:r w:rsidR="00631DC0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CE65F9" w:rsidRPr="008436AF" w:rsidRDefault="00CE65F9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07E" w:rsidRPr="00CB207E" w:rsidRDefault="00A25A4E" w:rsidP="00CB207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Obavlјa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stručne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zadatake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zahtevaju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stručnu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obradu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prikuplјenih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podataka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njihovo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tumačenje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primenu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utvrđenih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metoda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procedura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Posao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može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zahteva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prikuplјanje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istraživanje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analizu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izvestan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stepen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kreativnosti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rešavanju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situacija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nastaju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relativno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često</w:t>
      </w:r>
      <w:r w:rsidR="00CB207E" w:rsidRPr="00CB207E">
        <w:rPr>
          <w:rFonts w:ascii="Times New Roman" w:hAnsi="Times New Roman"/>
          <w:sz w:val="24"/>
          <w:szCs w:val="24"/>
          <w:lang w:val="ru-RU"/>
        </w:rPr>
        <w:t>:</w:t>
      </w:r>
    </w:p>
    <w:p w:rsidR="00CB207E" w:rsidRPr="00CB207E" w:rsidRDefault="00CB207E" w:rsidP="00CB20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1181" w:rsidRPr="00DB1181" w:rsidRDefault="00A25A4E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izrađuje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proisteklih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radnog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odnosa</w:t>
      </w:r>
      <w:r w:rsidR="00DB1181" w:rsidRPr="00DB1181">
        <w:rPr>
          <w:rFonts w:ascii="Times New Roman" w:hAnsi="Times New Roman"/>
          <w:sz w:val="24"/>
          <w:szCs w:val="24"/>
        </w:rPr>
        <w:t>;</w:t>
      </w:r>
    </w:p>
    <w:p w:rsidR="00131710" w:rsidRPr="00131710" w:rsidRDefault="00A25A4E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priprema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angažovanje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radnog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odnosa</w:t>
      </w:r>
      <w:r w:rsidR="00131710" w:rsidRPr="00131710">
        <w:rPr>
          <w:rFonts w:ascii="Times New Roman" w:hAnsi="Times New Roman"/>
          <w:sz w:val="24"/>
          <w:szCs w:val="24"/>
        </w:rPr>
        <w:t xml:space="preserve">; </w:t>
      </w:r>
    </w:p>
    <w:p w:rsidR="00DB1181" w:rsidRPr="00131710" w:rsidRDefault="00A25A4E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daje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instrukcije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smernice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delokruga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usklađivanja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istih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važećim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propisima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mišlјenja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pripremaju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usklađenost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Ustavom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pravnim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sistemom</w:t>
      </w:r>
      <w:r w:rsidR="00131710">
        <w:rPr>
          <w:rFonts w:ascii="Times New Roman" w:hAnsi="Times New Roman"/>
          <w:sz w:val="24"/>
          <w:szCs w:val="24"/>
        </w:rPr>
        <w:t xml:space="preserve">; </w:t>
      </w:r>
    </w:p>
    <w:p w:rsidR="00DB1181" w:rsidRPr="00DB1181" w:rsidRDefault="00A25A4E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prati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propise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sudske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mišlјenja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usklađivanja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akata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delokruga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istim</w:t>
      </w:r>
      <w:r w:rsidR="00131710">
        <w:rPr>
          <w:rFonts w:ascii="Times New Roman" w:hAnsi="Times New Roman"/>
          <w:sz w:val="24"/>
          <w:szCs w:val="24"/>
        </w:rPr>
        <w:t xml:space="preserve">; </w:t>
      </w:r>
    </w:p>
    <w:p w:rsidR="00DB1181" w:rsidRPr="00131710" w:rsidRDefault="00A25A4E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unosi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kadrovsku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evidenciju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zaposlenih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131710" w:rsidRPr="00131710">
        <w:rPr>
          <w:rFonts w:ascii="Times New Roman" w:hAnsi="Times New Roman"/>
          <w:sz w:val="24"/>
          <w:szCs w:val="24"/>
        </w:rPr>
        <w:t xml:space="preserve">; </w:t>
      </w:r>
    </w:p>
    <w:p w:rsidR="00131710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daje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organizaciono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normativno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unapređenje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delokruga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131710" w:rsidRPr="00131710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1181" w:rsidRPr="00131710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usvaja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principe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metode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tehnike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primenjuje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iskustva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najbolјih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primera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131710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DB1181" w:rsidRPr="00DB1181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priprema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opštih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akata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delokruga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131710">
        <w:rPr>
          <w:rFonts w:ascii="Times New Roman" w:hAnsi="Times New Roman"/>
          <w:sz w:val="24"/>
          <w:szCs w:val="24"/>
        </w:rPr>
        <w:t xml:space="preserve">; </w:t>
      </w:r>
    </w:p>
    <w:p w:rsidR="00131710" w:rsidRPr="00131710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sprovodi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podzakonskih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131710" w:rsidRP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internih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obavezujućih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akata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dokumenata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delokruga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131710" w:rsidRPr="00131710">
        <w:rPr>
          <w:rFonts w:ascii="Times New Roman" w:hAnsi="Times New Roman"/>
          <w:sz w:val="24"/>
          <w:szCs w:val="24"/>
        </w:rPr>
        <w:t xml:space="preserve">; </w:t>
      </w:r>
    </w:p>
    <w:p w:rsidR="00131710" w:rsidRPr="00131710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neposredno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učestvuje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osposoblјenosti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zaposlenih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uspešan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kvalitetan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uslovima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primene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savremenih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 w:rsidRP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</w:t>
      </w:r>
      <w:r w:rsidR="00131710" w:rsidRPr="00131710">
        <w:rPr>
          <w:rFonts w:ascii="Times New Roman" w:hAnsi="Times New Roman"/>
          <w:sz w:val="24"/>
          <w:szCs w:val="24"/>
        </w:rPr>
        <w:t xml:space="preserve">; </w:t>
      </w:r>
    </w:p>
    <w:p w:rsidR="00DB1181" w:rsidRPr="00131710" w:rsidRDefault="00A25A4E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priprema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izrađuje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evidencije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analize</w:t>
      </w:r>
      <w:r w:rsidR="001317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izveštaje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zahtevima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stepenom</w:t>
      </w:r>
      <w:r w:rsidR="0013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obrazovanja</w:t>
      </w:r>
      <w:r w:rsidR="00131710">
        <w:rPr>
          <w:rFonts w:ascii="Times New Roman" w:hAnsi="Times New Roman"/>
          <w:sz w:val="24"/>
          <w:szCs w:val="24"/>
        </w:rPr>
        <w:t xml:space="preserve">; </w:t>
      </w:r>
    </w:p>
    <w:p w:rsidR="00131710" w:rsidRDefault="00A25A4E" w:rsidP="00DB118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odlaže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čuva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arhivira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dokumentaciju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propisima</w:t>
      </w:r>
      <w:r w:rsidR="00131710"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31710" w:rsidRPr="00DB1181" w:rsidRDefault="00A25A4E" w:rsidP="0013171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obavlјa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druge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unutrašnje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poslove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neposrednoj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vezi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policijskim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poslovima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mu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stave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zadatak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nalogu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nadređenog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rukovodioca</w:t>
      </w:r>
      <w:r w:rsidR="001317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1181" w:rsidRPr="009E2675" w:rsidRDefault="00DB1181" w:rsidP="009E267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07DA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9E26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Default="00A25A4E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studijama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akademske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specijalističke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D34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obimu</w:t>
      </w:r>
      <w:r w:rsidR="00D34564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9E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D34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3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okviru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obrazovno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‒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društveno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humanističke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nauke</w:t>
      </w:r>
      <w:r w:rsidR="009E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ili</w:t>
      </w:r>
      <w:r w:rsidR="009E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interdisciplinarne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multidisciplinarne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transdisciplinarne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IMT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dvopredmetne</w:t>
      </w:r>
      <w:r w:rsidR="00C407DA" w:rsidRPr="00843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studije</w:t>
      </w:r>
      <w:r w:rsidR="00C407DA" w:rsidRPr="008436AF">
        <w:rPr>
          <w:rFonts w:ascii="Times New Roman" w:hAnsi="Times New Roman" w:cs="Times New Roman"/>
          <w:sz w:val="24"/>
          <w:szCs w:val="24"/>
        </w:rPr>
        <w:t>.</w:t>
      </w:r>
    </w:p>
    <w:p w:rsidR="009E2675" w:rsidRPr="009E2675" w:rsidRDefault="009E2675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8436AF" w:rsidRDefault="00A25A4E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</w:t>
      </w:r>
      <w:r w:rsidR="00C407DA" w:rsidRPr="00843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C407DA" w:rsidRPr="008436AF">
        <w:rPr>
          <w:rFonts w:ascii="Times New Roman" w:hAnsi="Times New Roman" w:cs="Times New Roman"/>
          <w:sz w:val="24"/>
          <w:szCs w:val="24"/>
        </w:rPr>
        <w:t>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A25A4E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opšte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državnim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organima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predviđene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propisane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Pravilnikom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unutrašnjem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sistematizaciji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mesta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Ministarstvu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unutrašnjih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</w:t>
      </w:r>
      <w:r w:rsidR="00F569F1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izbornom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proveravaju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0D677D"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uvidom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raspoložive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pisanim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konkretnog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zadatka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slučaja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Psihološki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bazične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standardizovanim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testovima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8436AF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obavlјanjem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lekarskog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referentnoj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77D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polustrukturisanim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5" w:rsidRDefault="00A25A4E" w:rsidP="000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osposoblјenost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proveravaju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ocenjuju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izbornom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675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25A4E">
        <w:rPr>
          <w:rFonts w:ascii="Times New Roman" w:hAnsi="Times New Roman" w:cs="Times New Roman"/>
          <w:sz w:val="24"/>
          <w:szCs w:val="24"/>
        </w:rPr>
        <w:t>znanje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iz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oblasti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rada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na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radnom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mestu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A25A4E">
        <w:rPr>
          <w:rFonts w:ascii="Times New Roman" w:hAnsi="Times New Roman" w:cs="Times New Roman"/>
          <w:sz w:val="24"/>
          <w:szCs w:val="24"/>
        </w:rPr>
        <w:t>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opisom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posla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mesta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904" w:rsidRPr="008436AF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A4E">
        <w:rPr>
          <w:rFonts w:ascii="Times New Roman" w:hAnsi="Times New Roman" w:cs="Times New Roman"/>
          <w:sz w:val="24"/>
          <w:szCs w:val="24"/>
        </w:rPr>
        <w:t>poznavanje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Zakona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policiji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u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oblasti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lјudskih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resursa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A25A4E">
        <w:rPr>
          <w:rFonts w:ascii="Times New Roman" w:hAnsi="Times New Roman" w:cs="Times New Roman"/>
          <w:sz w:val="24"/>
          <w:szCs w:val="24"/>
        </w:rPr>
        <w:t>Zakona</w:t>
      </w:r>
      <w:r w:rsidR="00D3456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</w:t>
      </w:r>
      <w:r w:rsidR="00D34564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opštem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upravnom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državnim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službenicima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A25A4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F569F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oglašavanja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A25A4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A25A4E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Rok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podnošenje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prijava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javni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569F1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A25A4E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F569F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A25A4E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koju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prijave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r w:rsidR="00631DC0"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Bulevar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Đinđića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104, 11070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SIV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– ''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glavni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. 08.6.1.2“.</w:t>
      </w:r>
    </w:p>
    <w:p w:rsidR="009E2675" w:rsidRPr="009E2675" w:rsidRDefault="009E267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A25A4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zaduženo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davanje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obaveštenja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E2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Marija</w:t>
      </w:r>
      <w:r w:rsidR="009E26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Janjić</w:t>
      </w:r>
      <w:r w:rsidR="00631DC0"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</w:t>
      </w:r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4-67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631DC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7B" w:rsidRPr="008436A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BB6" w:rsidRPr="008436AF" w:rsidRDefault="00A25A4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Dokazi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prilažu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prijavu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337D87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25A4E">
        <w:rPr>
          <w:rFonts w:ascii="Times New Roman" w:hAnsi="Times New Roman" w:cs="Times New Roman"/>
          <w:b/>
          <w:sz w:val="24"/>
          <w:szCs w:val="24"/>
        </w:rPr>
        <w:t>Obrazac</w:t>
      </w:r>
      <w:r w:rsidR="00662CB3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b/>
          <w:sz w:val="24"/>
          <w:szCs w:val="24"/>
        </w:rPr>
        <w:t>prijave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na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konkurs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- </w:t>
      </w:r>
      <w:r w:rsidR="00A25A4E">
        <w:rPr>
          <w:rFonts w:ascii="Times New Roman" w:hAnsi="Times New Roman" w:cs="Times New Roman"/>
          <w:sz w:val="24"/>
          <w:szCs w:val="24"/>
        </w:rPr>
        <w:t>dat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uz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ovaj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oglas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A25A4E">
        <w:rPr>
          <w:rFonts w:ascii="Times New Roman" w:hAnsi="Times New Roman" w:cs="Times New Roman"/>
          <w:sz w:val="24"/>
          <w:szCs w:val="24"/>
        </w:rPr>
        <w:t>čini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njegov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sastavni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deo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isti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je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b/>
          <w:sz w:val="24"/>
          <w:szCs w:val="24"/>
          <w:u w:val="single"/>
        </w:rPr>
        <w:t>neophodno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popuniti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i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svojeručno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potpisati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A4E">
        <w:rPr>
          <w:rFonts w:ascii="Times New Roman" w:hAnsi="Times New Roman" w:cs="Times New Roman"/>
          <w:sz w:val="24"/>
          <w:szCs w:val="24"/>
        </w:rPr>
        <w:t>Kratka</w:t>
      </w:r>
      <w:r w:rsidR="00E461CA" w:rsidRPr="008436AF">
        <w:rPr>
          <w:rFonts w:ascii="Times New Roman" w:hAnsi="Times New Roman" w:cs="Times New Roman"/>
          <w:sz w:val="24"/>
          <w:szCs w:val="24"/>
        </w:rPr>
        <w:t xml:space="preserve"> </w:t>
      </w:r>
      <w:r w:rsidR="00A25A4E">
        <w:rPr>
          <w:rFonts w:ascii="Times New Roman" w:hAnsi="Times New Roman" w:cs="Times New Roman"/>
          <w:sz w:val="24"/>
          <w:szCs w:val="24"/>
        </w:rPr>
        <w:t>biografija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A4E">
        <w:rPr>
          <w:rFonts w:ascii="Times New Roman" w:hAnsi="Times New Roman" w:cs="Times New Roman"/>
          <w:sz w:val="24"/>
          <w:szCs w:val="24"/>
        </w:rPr>
        <w:t>O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riginal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6519D" w:rsidRPr="008436AF" w:rsidRDefault="00337D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A25A4E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B1181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izjave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neophodno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DB1181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beležnika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beležnici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prilož</w:t>
      </w:r>
      <w:r w:rsidR="00AD2010" w:rsidRPr="008436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prijemnim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kancelarijama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01.03.2017.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A25A4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otpočinjanja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izbornog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F56585" w:rsidRPr="008436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D87">
        <w:rPr>
          <w:rFonts w:ascii="Times New Roman" w:hAnsi="Times New Roman" w:cs="Times New Roman"/>
          <w:sz w:val="24"/>
          <w:szCs w:val="24"/>
        </w:rPr>
        <w:t>27.07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ušli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obavešteni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otpočinjanju</w:t>
      </w:r>
      <w:r w:rsidR="00F56585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F56585" w:rsidRPr="008436AF">
        <w:rPr>
          <w:rFonts w:ascii="Times New Roman" w:hAnsi="Times New Roman" w:cs="Times New Roman"/>
          <w:sz w:val="24"/>
          <w:szCs w:val="24"/>
        </w:rPr>
        <w:t>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DB1181" w:rsidRDefault="00A25A4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337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AD201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95/2018-</w:t>
      </w:r>
      <w:r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A25A4E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00474FF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Preporuka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učesnik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dostavi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neophodnu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dokumentaciju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cilјu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bržeg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efikasnijeg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8436AF">
        <w:rPr>
          <w:rFonts w:ascii="Times New Roman" w:hAnsi="Times New Roman" w:cs="Times New Roman"/>
          <w:b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nedopuštene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nerazumlјive</w:t>
      </w:r>
      <w:r w:rsidR="00CF6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</w:t>
      </w:r>
      <w:r w:rsidR="00AD2010" w:rsidRPr="0084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odbačene</w:t>
      </w:r>
      <w:r w:rsidR="00CF64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AD2010"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25A4E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AD2010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844D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C19" w:rsidRPr="00BD0E20" w:rsidRDefault="00844DF6" w:rsidP="00BD0E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D0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4FA" w:rsidRDefault="00CF64FA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A25A4E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POPUNU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POLICIJSKOG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SLUŽBENIKA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UNUTRAŠNјIH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OGLASU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kojoj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popunjava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LIČNI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JMBG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prebivališta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boravišta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ESPB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RADNOM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ISKUSTVU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24"/>
        <w:gridCol w:w="2284"/>
        <w:gridCol w:w="4026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poslodavca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Dužina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trajanja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staža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obavlјaju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STRUČNOM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USAVRŠAVANјU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POSEBNIM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ZNANјA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sertifikat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poznavanje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stranog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jezika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računaru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PRILOŽENA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A4E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Podnosilac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A25A4E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A25A4E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podnosioca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87/18)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18/2016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95/2018-</w:t>
      </w:r>
      <w:r>
        <w:rPr>
          <w:rFonts w:ascii="Times New Roman" w:hAnsi="Times New Roman" w:cs="Times New Roman"/>
        </w:rPr>
        <w:t>autentično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tumačenje</w:t>
      </w:r>
      <w:r w:rsidR="008436AF" w:rsidRPr="00FC78D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kojom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pristajem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svrhu</w:t>
      </w:r>
      <w:r w:rsidR="008436AF" w:rsidRPr="00FC78DC">
        <w:rPr>
          <w:rFonts w:ascii="Times New Roman" w:hAnsi="Times New Roman" w:cs="Times New Roman"/>
          <w:b/>
        </w:rPr>
        <w:t xml:space="preserve">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1.  * </w:t>
      </w:r>
      <w:r w:rsidR="00A25A4E">
        <w:rPr>
          <w:rFonts w:ascii="Times New Roman" w:hAnsi="Times New Roman" w:cs="Times New Roman"/>
        </w:rPr>
        <w:t>sam</w:t>
      </w:r>
      <w:r w:rsidRPr="00FC78DC">
        <w:rPr>
          <w:rFonts w:ascii="Times New Roman" w:hAnsi="Times New Roman" w:cs="Times New Roman"/>
        </w:rPr>
        <w:t>/</w:t>
      </w:r>
      <w:r w:rsidR="00A25A4E">
        <w:rPr>
          <w:rFonts w:ascii="Times New Roman" w:hAnsi="Times New Roman" w:cs="Times New Roman"/>
        </w:rPr>
        <w:t>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pribavlјam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sledeću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dokumentaciju</w:t>
      </w:r>
      <w:r w:rsidRPr="00FC78DC">
        <w:rPr>
          <w:rFonts w:ascii="Times New Roman" w:hAnsi="Times New Roman" w:cs="Times New Roman"/>
        </w:rPr>
        <w:t xml:space="preserve"> (</w:t>
      </w:r>
      <w:r w:rsidR="00A25A4E">
        <w:rPr>
          <w:rFonts w:ascii="Times New Roman" w:hAnsi="Times New Roman" w:cs="Times New Roman"/>
        </w:rPr>
        <w:t>dokaze</w:t>
      </w:r>
      <w:r w:rsidRPr="00FC78DC">
        <w:rPr>
          <w:rFonts w:ascii="Times New Roman" w:hAnsi="Times New Roman" w:cs="Times New Roman"/>
        </w:rPr>
        <w:t xml:space="preserve">), </w:t>
      </w:r>
      <w:r w:rsidR="00A25A4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 xml:space="preserve">2. ** </w:t>
      </w:r>
      <w:r w:rsidR="00A25A4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moj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koristi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isklјučivo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svrhu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prikuplјanja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dokumentacije</w:t>
      </w:r>
      <w:r w:rsidRPr="00FC78DC">
        <w:rPr>
          <w:rFonts w:ascii="Times New Roman" w:hAnsi="Times New Roman" w:cs="Times New Roman"/>
        </w:rPr>
        <w:t xml:space="preserve"> (</w:t>
      </w:r>
      <w:r w:rsidR="00A25A4E">
        <w:rPr>
          <w:rFonts w:ascii="Times New Roman" w:hAnsi="Times New Roman" w:cs="Times New Roman"/>
        </w:rPr>
        <w:t>dokaza</w:t>
      </w:r>
      <w:r w:rsidRPr="00FC78DC">
        <w:rPr>
          <w:rFonts w:ascii="Times New Roman" w:hAnsi="Times New Roman" w:cs="Times New Roman"/>
        </w:rPr>
        <w:t xml:space="preserve">), </w:t>
      </w:r>
      <w:r w:rsidR="00A25A4E">
        <w:rPr>
          <w:rFonts w:ascii="Times New Roman" w:hAnsi="Times New Roman" w:cs="Times New Roman"/>
        </w:rPr>
        <w:t>koju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Ministarstvo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unutrašnjih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poslova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iz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službenih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</w:t>
      </w:r>
      <w:r w:rsidR="00A25A4E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</w:t>
      </w:r>
      <w:r w:rsidR="00A25A4E">
        <w:rPr>
          <w:rFonts w:ascii="Times New Roman" w:hAnsi="Times New Roman" w:cs="Times New Roman"/>
        </w:rPr>
        <w:t>potpis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</w:t>
      </w:r>
      <w:r w:rsidR="00A25A4E">
        <w:rPr>
          <w:rFonts w:ascii="Times New Roman" w:hAnsi="Times New Roman" w:cs="Times New Roman"/>
        </w:rPr>
        <w:t>mesto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datum</w:t>
      </w:r>
      <w:r w:rsidRPr="00FC78DC">
        <w:rPr>
          <w:rFonts w:ascii="Times New Roman" w:hAnsi="Times New Roman" w:cs="Times New Roman"/>
        </w:rPr>
        <w:t>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A25A4E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* </w:t>
      </w:r>
      <w:r w:rsidR="00A25A4E">
        <w:rPr>
          <w:rFonts w:ascii="Times New Roman" w:hAnsi="Times New Roman" w:cs="Times New Roman"/>
        </w:rPr>
        <w:t>Odredbom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člana</w:t>
      </w:r>
      <w:r w:rsidRPr="00FC78DC">
        <w:rPr>
          <w:rFonts w:ascii="Times New Roman" w:hAnsi="Times New Roman" w:cs="Times New Roman"/>
        </w:rPr>
        <w:t xml:space="preserve"> 9. </w:t>
      </w:r>
      <w:r w:rsidR="00A25A4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103. </w:t>
      </w:r>
      <w:r w:rsidR="00A25A4E">
        <w:rPr>
          <w:rFonts w:ascii="Times New Roman" w:hAnsi="Times New Roman" w:cs="Times New Roman"/>
        </w:rPr>
        <w:t>Zakona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opštem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upravnom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propisano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između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ostalog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koji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pokreće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zahtevu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stranke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organ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može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vrši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uvid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obrađuje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činjenicama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kojima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vodi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službena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kada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neophodno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osim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izričito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izjavi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pribaviti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sama</w:t>
      </w:r>
      <w:r w:rsidRPr="00FC78DC">
        <w:rPr>
          <w:rFonts w:ascii="Times New Roman" w:hAnsi="Times New Roman" w:cs="Times New Roman"/>
        </w:rPr>
        <w:t xml:space="preserve">. </w:t>
      </w:r>
      <w:r w:rsidR="00A25A4E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roku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ne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podnese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neophodne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organa</w:t>
      </w:r>
      <w:r w:rsidRPr="00FC78DC">
        <w:rPr>
          <w:rFonts w:ascii="Times New Roman" w:hAnsi="Times New Roman" w:cs="Times New Roman"/>
        </w:rPr>
        <w:t xml:space="preserve">, </w:t>
      </w:r>
      <w:r w:rsidR="00A25A4E">
        <w:rPr>
          <w:rFonts w:ascii="Times New Roman" w:hAnsi="Times New Roman" w:cs="Times New Roman"/>
        </w:rPr>
        <w:t>zahtev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pokretanje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postupka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smatrati</w:t>
      </w:r>
      <w:r w:rsidRPr="00FC78DC">
        <w:rPr>
          <w:rFonts w:ascii="Times New Roman" w:hAnsi="Times New Roman" w:cs="Times New Roman"/>
        </w:rPr>
        <w:t xml:space="preserve"> </w:t>
      </w:r>
      <w:r w:rsidR="00A25A4E">
        <w:rPr>
          <w:rFonts w:ascii="Times New Roman" w:hAnsi="Times New Roman" w:cs="Times New Roman"/>
        </w:rPr>
        <w:t>neurednim</w:t>
      </w:r>
      <w:r w:rsidRPr="00FC78DC">
        <w:rPr>
          <w:rFonts w:ascii="Times New Roman" w:hAnsi="Times New Roman" w:cs="Times New Roman"/>
        </w:rPr>
        <w:t xml:space="preserve"> (</w:t>
      </w:r>
      <w:r w:rsidR="00A25A4E">
        <w:rPr>
          <w:rFonts w:ascii="Times New Roman" w:hAnsi="Times New Roman" w:cs="Times New Roman"/>
        </w:rPr>
        <w:t>član</w:t>
      </w:r>
      <w:r w:rsidRPr="00FC78DC">
        <w:rPr>
          <w:rFonts w:ascii="Times New Roman" w:hAnsi="Times New Roman" w:cs="Times New Roman"/>
        </w:rPr>
        <w:t xml:space="preserve"> 103. </w:t>
      </w:r>
      <w:r w:rsidR="00A25A4E">
        <w:rPr>
          <w:rFonts w:ascii="Times New Roman" w:hAnsi="Times New Roman" w:cs="Times New Roman"/>
        </w:rPr>
        <w:t>stav</w:t>
      </w:r>
      <w:r w:rsidRPr="00FC78DC">
        <w:rPr>
          <w:rFonts w:ascii="Times New Roman" w:hAnsi="Times New Roman" w:cs="Times New Roman"/>
        </w:rPr>
        <w:t xml:space="preserve">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="00A25A4E">
        <w:rPr>
          <w:rFonts w:ascii="Times New Roman" w:hAnsi="Times New Roman" w:cs="Times New Roman"/>
          <w:lang w:val="sr-Cyrl-CS"/>
        </w:rPr>
        <w:t>Saglasno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odredbi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člana</w:t>
      </w:r>
      <w:r w:rsidRPr="00FC78DC">
        <w:rPr>
          <w:rFonts w:ascii="Times New Roman" w:hAnsi="Times New Roman" w:cs="Times New Roman"/>
          <w:lang w:val="sr-Cyrl-CS"/>
        </w:rPr>
        <w:t xml:space="preserve"> 12. </w:t>
      </w:r>
      <w:r w:rsidR="00A25A4E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A25A4E">
        <w:rPr>
          <w:rFonts w:ascii="Times New Roman" w:hAnsi="Times New Roman" w:cs="Times New Roman"/>
          <w:lang w:val="sr-Cyrl-CS"/>
        </w:rPr>
        <w:t>tačka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A25A4E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zaštiti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obrada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zakonita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samo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ako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pristalo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obradu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svojih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za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jednu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ili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više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posebno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određenih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svrha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dok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članom</w:t>
      </w:r>
      <w:r w:rsidRPr="00FC78DC">
        <w:rPr>
          <w:rFonts w:ascii="Times New Roman" w:hAnsi="Times New Roman" w:cs="Times New Roman"/>
          <w:lang w:val="sr-Cyrl-CS"/>
        </w:rPr>
        <w:t xml:space="preserve"> 15. </w:t>
      </w:r>
      <w:r w:rsidR="00A25A4E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3. </w:t>
      </w:r>
      <w:r w:rsidR="00A25A4E">
        <w:rPr>
          <w:rFonts w:ascii="Times New Roman" w:hAnsi="Times New Roman" w:cs="Times New Roman"/>
          <w:lang w:val="sr-Cyrl-CS"/>
        </w:rPr>
        <w:t>istog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između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ostalog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ima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</w:rPr>
        <w:t>p</w:t>
      </w:r>
      <w:r w:rsidR="00A25A4E">
        <w:rPr>
          <w:rFonts w:ascii="Times New Roman" w:hAnsi="Times New Roman" w:cs="Times New Roman"/>
          <w:lang w:val="sr-Cyrl-CS"/>
        </w:rPr>
        <w:t>ravo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opozove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pristanak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svakom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trenutku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A25A4E">
        <w:rPr>
          <w:rFonts w:ascii="Times New Roman" w:hAnsi="Times New Roman" w:cs="Times New Roman"/>
          <w:lang w:val="sr-Cyrl-CS"/>
        </w:rPr>
        <w:t>ali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opoziv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utiče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dopuštenost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obrade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koja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vršena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osnovu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pristanka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pre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A25A4E">
        <w:rPr>
          <w:rFonts w:ascii="Times New Roman" w:hAnsi="Times New Roman" w:cs="Times New Roman"/>
          <w:lang w:val="sr-Cyrl-CS"/>
        </w:rPr>
        <w:t>opoziva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42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Javni konkurs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6"/>
              <w:gridCol w:w="6"/>
              <w:gridCol w:w="7744"/>
              <w:gridCol w:w="2002"/>
            </w:tblGrid>
            <w:tr w:rsidR="0003400E" w:rsidRPr="00E42FCD" w:rsidTr="009F5F9C">
              <w:trPr>
                <w:trHeight w:val="300"/>
                <w:tblCellSpacing w:w="0" w:type="dxa"/>
              </w:trPr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color w:val="FF0000"/>
                      <w:sz w:val="13"/>
                    </w:rPr>
                    <w:t>Mirjana Masalovic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E42F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sz w:val="13"/>
                      <w:szCs w:val="13"/>
                    </w:rPr>
                    <w:t>Monday, June 15, 2020 01:39PM</w:t>
                  </w:r>
                </w:p>
              </w:tc>
            </w:tr>
          </w:tbl>
          <w:p w:rsidR="0003400E" w:rsidRPr="00E42FCD" w:rsidRDefault="0003400E" w:rsidP="009F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612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To:</w:t>
            </w:r>
          </w:p>
        </w:tc>
        <w:tc>
          <w:tcPr>
            <w:tcW w:w="5000" w:type="pct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marina.milovanovic@nsz.gov.rs</w:t>
            </w:r>
          </w:p>
        </w:tc>
      </w:tr>
    </w:tbl>
    <w:p w:rsidR="0003400E" w:rsidRPr="00420CD9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Postovana,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U prilogu Vam prosledjujemo tekst oglasa o javnom konkursu, obrazac prijave i izjave, a radi objave na dan 17.06.2020. godine, na sajtu NZS, a u Poslovima sa jasnom naznakom da je datum objave 17.06.2020. godine. 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Pozdrav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Mirjana Masalovic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Sektor za ljudske resurse </w:t>
      </w: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42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Javni konkurs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6"/>
              <w:gridCol w:w="6"/>
              <w:gridCol w:w="7744"/>
              <w:gridCol w:w="2002"/>
            </w:tblGrid>
            <w:tr w:rsidR="0003400E" w:rsidRPr="00E42FCD" w:rsidTr="009F5F9C">
              <w:trPr>
                <w:trHeight w:val="300"/>
                <w:tblCellSpacing w:w="0" w:type="dxa"/>
              </w:trPr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color w:val="FF0000"/>
                      <w:sz w:val="13"/>
                    </w:rPr>
                    <w:t>Mirjana Masalovic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E42F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sz w:val="13"/>
                      <w:szCs w:val="13"/>
                    </w:rPr>
                    <w:t>Monday, June 15, 2020 01:44PM</w:t>
                  </w:r>
                </w:p>
              </w:tc>
            </w:tr>
          </w:tbl>
          <w:p w:rsidR="0003400E" w:rsidRPr="00E42FCD" w:rsidRDefault="0003400E" w:rsidP="009F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803"/>
        <w:gridCol w:w="759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To:</w:t>
            </w:r>
          </w:p>
        </w:tc>
        <w:tc>
          <w:tcPr>
            <w:tcW w:w="5000" w:type="pct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biro internet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00E" w:rsidRPr="00E42FCD" w:rsidRDefault="0003400E" w:rsidP="009F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42FCD">
              <w:rPr>
                <w:rFonts w:ascii="Arial" w:eastAsia="Times New Roman" w:hAnsi="Arial" w:cs="Arial"/>
                <w:color w:val="105CB6"/>
                <w:sz w:val="13"/>
              </w:rPr>
              <w:t>Show Details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Cc:</w:t>
            </w:r>
          </w:p>
        </w:tc>
        <w:tc>
          <w:tcPr>
            <w:tcW w:w="5000" w:type="pct"/>
            <w:gridSpan w:val="2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Beba Valcic</w:t>
            </w: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, </w:t>
            </w: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Nadezda Cantrak</w:t>
            </w:r>
          </w:p>
        </w:tc>
      </w:tr>
    </w:tbl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Postovani,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U prilogu Vam prosledjujem tekst oglasa o javnom konkursu, obrazac prijave i izjave, a koje je potrebno objaviti na Internet sajtu Ministarstva unutrasnjih poslova dana 17.06.2020. godine.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Pozdrav</w:t>
      </w:r>
    </w:p>
    <w:p w:rsidR="0003400E" w:rsidRP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D017F1" w:rsidRPr="005615ED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017F1" w:rsidRPr="005615ED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3"/>
  </w:num>
  <w:num w:numId="5">
    <w:abstractNumId w:val="24"/>
  </w:num>
  <w:num w:numId="6">
    <w:abstractNumId w:val="16"/>
  </w:num>
  <w:num w:numId="7">
    <w:abstractNumId w:val="12"/>
  </w:num>
  <w:num w:numId="8">
    <w:abstractNumId w:val="21"/>
  </w:num>
  <w:num w:numId="9">
    <w:abstractNumId w:val="20"/>
  </w:num>
  <w:num w:numId="10">
    <w:abstractNumId w:val="25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7"/>
  </w:num>
  <w:num w:numId="23">
    <w:abstractNumId w:val="14"/>
  </w:num>
  <w:num w:numId="24">
    <w:abstractNumId w:val="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0"/>
    <w:rsid w:val="000144B8"/>
    <w:rsid w:val="00025C1C"/>
    <w:rsid w:val="0003400E"/>
    <w:rsid w:val="000357DC"/>
    <w:rsid w:val="00041C02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31710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50E6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44EA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37D87"/>
    <w:rsid w:val="00350BEC"/>
    <w:rsid w:val="00353D0D"/>
    <w:rsid w:val="0035762A"/>
    <w:rsid w:val="00360DD1"/>
    <w:rsid w:val="0036547C"/>
    <w:rsid w:val="00373D1C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15FC2"/>
    <w:rsid w:val="0052768A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38EB"/>
    <w:rsid w:val="006847A7"/>
    <w:rsid w:val="00694409"/>
    <w:rsid w:val="00696DDD"/>
    <w:rsid w:val="006A5722"/>
    <w:rsid w:val="006B13A9"/>
    <w:rsid w:val="006B693B"/>
    <w:rsid w:val="006C267D"/>
    <w:rsid w:val="006D4807"/>
    <w:rsid w:val="006E62C2"/>
    <w:rsid w:val="006E7AF7"/>
    <w:rsid w:val="006F1FD7"/>
    <w:rsid w:val="006F6469"/>
    <w:rsid w:val="00701A6E"/>
    <w:rsid w:val="007061BF"/>
    <w:rsid w:val="00715ED6"/>
    <w:rsid w:val="007210F6"/>
    <w:rsid w:val="00730025"/>
    <w:rsid w:val="00735862"/>
    <w:rsid w:val="00746637"/>
    <w:rsid w:val="00760C47"/>
    <w:rsid w:val="0076519D"/>
    <w:rsid w:val="00777065"/>
    <w:rsid w:val="00790583"/>
    <w:rsid w:val="007A0C99"/>
    <w:rsid w:val="007A0E58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675"/>
    <w:rsid w:val="009E27EC"/>
    <w:rsid w:val="009E28B2"/>
    <w:rsid w:val="00A007B9"/>
    <w:rsid w:val="00A03B06"/>
    <w:rsid w:val="00A116B4"/>
    <w:rsid w:val="00A13E67"/>
    <w:rsid w:val="00A25A4E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7408B"/>
    <w:rsid w:val="00B805EF"/>
    <w:rsid w:val="00B81FB9"/>
    <w:rsid w:val="00B862C2"/>
    <w:rsid w:val="00B86B93"/>
    <w:rsid w:val="00BA3061"/>
    <w:rsid w:val="00BB6489"/>
    <w:rsid w:val="00BD0D46"/>
    <w:rsid w:val="00BD0E20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CF64FA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62224"/>
    <w:rsid w:val="00F74556"/>
    <w:rsid w:val="00F84053"/>
    <w:rsid w:val="00F85D68"/>
    <w:rsid w:val="00F94EA7"/>
    <w:rsid w:val="00F95E78"/>
    <w:rsid w:val="00FA1A06"/>
    <w:rsid w:val="00FB25E0"/>
    <w:rsid w:val="00FB6918"/>
    <w:rsid w:val="00FC1556"/>
    <w:rsid w:val="00FC56A0"/>
    <w:rsid w:val="00FC7693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A2E19-720E-4C8F-A215-0BC9A7E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6410-7715-41A4-934B-FD73CCC7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Nadja</cp:lastModifiedBy>
  <cp:revision>2</cp:revision>
  <cp:lastPrinted>2020-07-08T07:33:00Z</cp:lastPrinted>
  <dcterms:created xsi:type="dcterms:W3CDTF">2020-07-09T09:11:00Z</dcterms:created>
  <dcterms:modified xsi:type="dcterms:W3CDTF">2020-07-09T09:11:00Z</dcterms:modified>
</cp:coreProperties>
</file>