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0E" w:rsidRDefault="009A5C0E" w:rsidP="009A5C0E">
      <w:pPr>
        <w:jc w:val="center"/>
        <w:rPr>
          <w:b/>
          <w:vertAlign w:val="subscript"/>
        </w:rPr>
      </w:pPr>
      <w:bookmarkStart w:id="0" w:name="_GoBack"/>
    </w:p>
    <w:p w:rsidR="009A5C0E" w:rsidRDefault="009A5C0E" w:rsidP="009A5C0E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C45979" w:rsidRPr="009A5C0E" w:rsidRDefault="009B3C06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B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L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Ž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Nј</w:t>
      </w:r>
      <w:r w:rsidR="00C45979" w:rsidRPr="009A5C0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</w:p>
    <w:p w:rsidR="00C45979" w:rsidRPr="00C45979" w:rsidRDefault="00C45979" w:rsidP="00C45979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5979" w:rsidRPr="00C45979" w:rsidRDefault="00C45979" w:rsidP="00C45979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9B3C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Ustavni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osnov</w:t>
      </w:r>
    </w:p>
    <w:p w:rsidR="00C45979" w:rsidRDefault="00C45979" w:rsidP="00C45979">
      <w:pPr>
        <w:widowControl w:val="0"/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Ustavni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osnov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donošenje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Zakon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-RU"/>
        </w:rPr>
        <w:t>o</w:t>
      </w:r>
      <w:r w:rsidR="00663A4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izmenama</w:t>
      </w:r>
      <w:r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i</w:t>
      </w:r>
      <w:r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dopunama</w:t>
      </w:r>
      <w:r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Zakona</w:t>
      </w:r>
      <w:r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</w:t>
      </w:r>
      <w:r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zaštiti</w:t>
      </w:r>
      <w:r w:rsidR="00EF2AFE"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od</w:t>
      </w:r>
      <w:r w:rsidR="00EF2AFE"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požara</w:t>
      </w:r>
      <w:r w:rsidR="00EF2AFE" w:rsidRPr="009B3C0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sadržan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je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članu</w:t>
      </w:r>
      <w:r w:rsidRPr="00C459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97.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tačka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9114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Ustava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Republike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Srbije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(„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Službeni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glasnik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RS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”,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broj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89/06),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kojim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se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utvrđuje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da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Republika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Srbija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između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ostalog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uređuje</w:t>
      </w:r>
      <w:r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odbranu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bezbednost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Republike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Srbije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njenih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građana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</w:t>
      </w:r>
      <w:r w:rsid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mere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za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slučaj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vanrednog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stanja</w:t>
      </w:r>
      <w:r w:rsid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911403" w:rsidRPr="009114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45979" w:rsidRPr="00C45979" w:rsidRDefault="00C45979" w:rsidP="00C4597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II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9B3C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Razlozi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</w:t>
      </w:r>
      <w:r w:rsidRPr="00C4597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donošenje</w:t>
      </w:r>
    </w:p>
    <w:p w:rsidR="004E27A1" w:rsidRPr="009B3C06" w:rsidRDefault="009B3C06" w:rsidP="006040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objavlјen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C95D8D">
        <w:rPr>
          <w:rFonts w:ascii="Times New Roman" w:hAnsi="Times New Roman" w:cs="Times New Roman"/>
          <w:sz w:val="24"/>
          <w:szCs w:val="24"/>
        </w:rPr>
        <w:t>oj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20/15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novine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procedure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E27A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uslovlјene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donetim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objavlјenim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132/14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145/</w:t>
      </w:r>
      <w:r w:rsidR="008C4D9F" w:rsidRPr="009B3C06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efekat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imale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tehničku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podobnosti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upotrebu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sprovedenosti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64729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učinjen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efikasnijim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bržim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jeftinijim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transparentnijim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sadržaj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obim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izrađuje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projektovanja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prenošenja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vršenju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tehničkog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pregleda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podobnost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upotrebu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sprovedenih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licencom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81919" w:rsidRPr="009B3C06" w:rsidRDefault="009B3C06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takav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sveukupno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imao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pozitivan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efekat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privredu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doprineo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јš</w:t>
      </w:r>
      <w:r>
        <w:rPr>
          <w:rFonts w:ascii="Times New Roman" w:hAnsi="Times New Roman" w:cs="Times New Roman"/>
          <w:sz w:val="24"/>
          <w:szCs w:val="24"/>
        </w:rPr>
        <w:t>anju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izgradnje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im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stranim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investitorima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poslata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poruka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izmenjen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zakonodavni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</w:t>
      </w:r>
      <w:r w:rsidR="0028191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a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intenzivnije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investira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Republiku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D223BA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0118" w:rsidRPr="009B3C06" w:rsidRDefault="009B3C06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protekle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etiri</w:t>
      </w:r>
      <w:r w:rsidR="0060404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testiraju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istih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ak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smeru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inovirati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koncepti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izmenili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unapredili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popravili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predvidela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5D57" w:rsidRPr="009B3C06" w:rsidRDefault="009B3C06" w:rsidP="001E64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Imaju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ivanja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pravnim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tekovinama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pregovara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pristupanju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transponovanja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eksplozivima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Direktiva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pirotehni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kim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proizvodima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izra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eksplozivnim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materijama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eksplozivi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pirotehni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ki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proizvodi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iti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precizno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razdvojile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nosti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eksploziva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vojnu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civilnu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E0118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Podela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nosti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usledila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avanja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dugogodi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pogonima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namenske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industrije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šć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vojnim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uknji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katastar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F2486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dozvole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koji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najdu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veka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šć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kontrolom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nog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im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objektima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inovirali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tehnologiju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47313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313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izgradnju</w:t>
      </w:r>
      <w:r w:rsidR="0047313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dogradnju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rekonstrukciju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pogonima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investitori</w:t>
      </w:r>
      <w:r w:rsidR="00DD48E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avaju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ozakone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civilnim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stvorilo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no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nemogu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ozakoniti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uskladiti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civilnim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zakonodavstvom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EA3AE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ukazujemo</w:t>
      </w:r>
      <w:r w:rsidR="00EA3AE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A3AE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A3AE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prometu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vojne</w:t>
      </w:r>
      <w:r w:rsidR="001E64A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nosti</w:t>
      </w:r>
      <w:r w:rsidR="00EA3AE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omogu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dogradnja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opremanje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kapaciteta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proizvodnju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vojne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izradu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ke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im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primenjuju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121B8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eno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anje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izvoza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proizvoditi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stranog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kupca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7625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standardima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enim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stranim</w:t>
      </w:r>
      <w:r w:rsidR="00B45684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kupcem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Uzimaju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napred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navedeno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injenicu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tehnologije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ka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proizvodnju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vojne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sopstvena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licencna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predstavl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aju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kriterijuma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ito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vrednuju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ocene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ispunjenosti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izdavanje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proizvodnju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EB0DC7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najsvrsishodnije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C7D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proizvodnju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tite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eksplozija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ivom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kontrolom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Ministrastva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odbrane</w:t>
      </w:r>
      <w:r w:rsidR="0044235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F5A6C" w:rsidRPr="009B3C06" w:rsidRDefault="009B3C06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Tako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planiranju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izgradnji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podzakonskih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donetih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rudarstvu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geolo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kim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istra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ivanjima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inovirati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iti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usobna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avanja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603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pomenemo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potrebnih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produkt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urbanizma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najbitnije</w:t>
      </w:r>
      <w:r w:rsidR="00444BA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izgradnju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an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titu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imalac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šć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planskih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tite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eksplozija</w:t>
      </w:r>
      <w:r w:rsidR="0004795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propisivanje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tite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lokacijskih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dosada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nja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preciziranja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ke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preciznije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jasnije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definisanje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pribavl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podobnost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upotrebu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vezane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tite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0533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pojedinim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lanovima</w:t>
      </w:r>
      <w:r w:rsidR="00EA45B0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03461" w:rsidRPr="009B3C06" w:rsidRDefault="009B3C06" w:rsidP="00EB1A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Odre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ene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BE66B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titi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enom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benom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glasniku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95D8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  <w:lang w:val="sr-Cyrl-CS"/>
        </w:rPr>
        <w:t>oj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87/18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EF3BA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3BA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postupanju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benika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F62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F62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62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sprovođenjem</w:t>
      </w:r>
      <w:r w:rsidR="00F62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F62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utvrđenih</w:t>
      </w:r>
      <w:r w:rsidR="00F62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F625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2552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EF3BA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usagla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avanja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inspekcijskom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nadzoru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2311" w:rsidRPr="009B3C06" w:rsidRDefault="009B3C06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Programom</w:t>
      </w:r>
      <w:r w:rsidR="006567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567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pojednostavl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6567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administrativnih</w:t>
      </w:r>
      <w:r w:rsidR="006567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postupaka</w:t>
      </w:r>
      <w:r w:rsidR="006567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regulative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PAPIR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utvr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etvrti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kvartal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krajnji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proistekle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preporuka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optimizaciju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administrativnih</w:t>
      </w:r>
      <w:r w:rsidR="00D03F46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postupaka</w:t>
      </w:r>
      <w:r w:rsidR="006567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428DF" w:rsidRPr="009B3C06" w:rsidRDefault="009B3C06" w:rsidP="00C229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Neke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budu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pokazala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neadekvatna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ajevi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ni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ito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odredbe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stvaraju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neujedna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enu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praksu</w:t>
      </w:r>
      <w:r w:rsidR="00DF5A6C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Default="000428DF" w:rsidP="00042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28DF">
        <w:rPr>
          <w:rFonts w:ascii="Times New Roman" w:hAnsi="Times New Roman" w:cs="Times New Roman"/>
          <w:b/>
          <w:sz w:val="24"/>
          <w:szCs w:val="24"/>
          <w:lang w:val="de-DE"/>
        </w:rPr>
        <w:t>III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Objašnjenje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osnovnih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pravnih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instituta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pojedinačnih</w:t>
      </w:r>
      <w:r w:rsidRPr="00042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rešenj</w:t>
      </w:r>
      <w:r w:rsidR="009B3C06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</w:p>
    <w:p w:rsidR="000428DF" w:rsidRPr="009B3C06" w:rsidRDefault="009B3C06" w:rsidP="000428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63A4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pojedinih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pojmova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odredbama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omogućilo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sledećih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pojmova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stambeno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poslovno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stambeni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površina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0428DF" w:rsidRDefault="009B3C06" w:rsidP="00C95D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preciziranje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F456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vršenju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7E1509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0428DF" w:rsidRDefault="009B3C06" w:rsidP="00C95D8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95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17.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preciziraju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poslovi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obavlјa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obavlјa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nadležan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direktnoj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planiranjem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izgradnjom</w:t>
      </w:r>
      <w:r w:rsidR="005C2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0428DF" w:rsidRPr="000428D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</w:p>
    <w:p w:rsidR="000428DF" w:rsidRPr="009B3C06" w:rsidRDefault="009B3C06" w:rsidP="00C95D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95D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preciziranje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cilјu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jasnog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definisanja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kategorizacije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zemlјišta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ugroženosti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5C249B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A5C0E" w:rsidRPr="009B3C06" w:rsidRDefault="009B3C06" w:rsidP="0052158E">
      <w:pPr>
        <w:ind w:firstLine="708"/>
        <w:jc w:val="both"/>
        <w:rPr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obuke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vatrogasce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stava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="009A5C0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A5C0E" w:rsidRPr="009B3C06">
        <w:rPr>
          <w:sz w:val="24"/>
          <w:szCs w:val="24"/>
          <w:lang w:val="sr-Cyrl-CS"/>
        </w:rPr>
        <w:t>.</w:t>
      </w:r>
    </w:p>
    <w:p w:rsidR="000428DF" w:rsidRPr="009B3C06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234A" w:rsidRPr="009B3C0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naslova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iznad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cilјu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jasnog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definisanja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Vojske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9B3C06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735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E2114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pojednostavlјena</w:t>
      </w:r>
      <w:r w:rsidR="00B7735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sadržina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7FCE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735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C15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15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C15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77FCE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pojašnjene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razvrstanih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ugroženosti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B77FC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0428DF" w:rsidRDefault="00B77FCE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735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29.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usaglašavanje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bližeg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definisanja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postupanja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izdavanja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eksplozija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postupcima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pripreme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praćenja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planskih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utvrđenoj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E20A4A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0428DF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7735D">
        <w:rPr>
          <w:rFonts w:ascii="Times New Roman" w:hAnsi="Times New Roman" w:cs="Times New Roman"/>
          <w:sz w:val="24"/>
          <w:szCs w:val="24"/>
          <w:lang w:val="uz-Cyrl-UZ"/>
        </w:rPr>
        <w:t>10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pojašnjena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odredba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nedoumica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nastale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E20A4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praksi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tokom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primene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428DF" w:rsidRPr="000428DF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B7735D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uvedena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</w:t>
      </w:r>
      <w:r w:rsidR="00E20A4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cilјu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usaglašavanja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planiranju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izgradnji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definisanja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praksi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sprovodi</w:t>
      </w:r>
      <w:r w:rsidR="00B7735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7735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objedinjenoj</w:t>
      </w:r>
      <w:r w:rsidR="00B7735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proceduri</w:t>
      </w:r>
      <w:r w:rsidR="00B7735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momenta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Uredbe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lokacijskim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uslovima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420680" w:rsidRPr="009B3C06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B7735D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420680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pojašnjena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sadržina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glavnog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nedoumica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javlјale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praksi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428DF" w:rsidRPr="009B3C06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B7735D" w:rsidRPr="009B3C06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</w:t>
      </w:r>
      <w:r>
        <w:rPr>
          <w:rFonts w:ascii="Times New Roman" w:hAnsi="Times New Roman" w:cs="Times New Roman"/>
          <w:sz w:val="24"/>
          <w:szCs w:val="24"/>
          <w:lang w:val="sr-Cyrl-CS"/>
        </w:rPr>
        <w:t>an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izrađuju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Glavni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imenovanja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projektanta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izrađuje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Glavni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projekat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odgovornost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vođenja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evidencija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izdatim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oduzetim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licencama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ovlašćenjima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izradu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Glavnog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projekta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420680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0428DF" w:rsidRPr="009B3C06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B7735D" w:rsidRPr="009B3C06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937C1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4937C1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5C66BA">
        <w:rPr>
          <w:rFonts w:ascii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pojašnjeni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podležu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pribavlјanja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saglasnosti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dokumentaciju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predviđenih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područne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jedinice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čijoj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pribavlјanja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saglasnosti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rudarstvo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smatraju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rudarskim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objektima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postrojenjima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uređajima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predmet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ozakonjenja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posebnom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ozakonjenje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dokumentaciju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daje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odbrane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čime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jasno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razdvojene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unutrašnjih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odbrane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eksploziva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vojnu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civilnu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upotrebu</w:t>
      </w:r>
      <w:r w:rsidR="005C66B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F259B3" w:rsidRPr="009B3C06" w:rsidRDefault="009B3C06" w:rsidP="001127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članu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B7735D" w:rsidRPr="009B3C06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F259B3">
        <w:rPr>
          <w:rFonts w:ascii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pojašnjeni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podležu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obavezi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pribavlјanja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saglasnosti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dokumentaciju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predviđenih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strane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pribavlјanja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saglasnosti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rudarstvo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smatraju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rudarskim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objektima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postrojenjima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uređajima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predmet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ozakonjenja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posebnom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ozakonjenje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objekti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dokumentaciju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daje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odbrane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čime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jasno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razdvojene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unutrašnjih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odbrane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eksploziva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vojnu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civilnu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upotrebu</w:t>
      </w:r>
      <w:r w:rsidR="00F259B3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D43BD7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0428D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7B07D4" w:rsidRPr="009B3C06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D43BD7">
        <w:rPr>
          <w:rFonts w:ascii="Times New Roman" w:hAnsi="Times New Roman" w:cs="Times New Roman"/>
          <w:sz w:val="24"/>
          <w:szCs w:val="24"/>
          <w:lang w:val="uz-Cyrl-UZ"/>
        </w:rPr>
        <w:t xml:space="preserve"> 3</w:t>
      </w:r>
      <w:r w:rsidR="00D43BD7" w:rsidRPr="00C15456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D43BD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cilјu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terminološkog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usaglašavanja</w:t>
      </w:r>
      <w:r w:rsidR="00D43BD7" w:rsidRPr="009B3C0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43BD7" w:rsidRPr="009B3C06" w:rsidRDefault="00D43BD7" w:rsidP="00D43BD7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9471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937C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7B07D4" w:rsidRPr="009B3C0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937C1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36.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cilјu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usaglašavanja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predložene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čl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>. 1</w:t>
      </w:r>
      <w:r w:rsidR="007B07D4" w:rsidRPr="009B3C06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B07D4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B07D4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15.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promene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nadležnosti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objektima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pribavlјa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saglasnost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preciznije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definisan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vršenja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tehničkog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pregleda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objekata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čl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33.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34.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objekte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uređuje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rudarstvo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smatraju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rudarskim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objektima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objekte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podobnost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upotrebu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pogledu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sprovedenosti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mera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utvrđuje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Ministarstvo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uz-Cyrl-UZ"/>
        </w:rPr>
        <w:t>odbrane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933F1A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Članom</w:t>
      </w:r>
      <w:r w:rsidR="007B07D4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18</w:t>
      </w:r>
      <w:r w:rsidR="004937C1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660231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933F1A">
        <w:rPr>
          <w:rFonts w:ascii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izvršeno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terminološko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usaglašavanje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Zakonom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zapalјivim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gorivim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tečnostima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zapalјivim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gasovima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33F1A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7B07D4" w:rsidRPr="009B3C06"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38.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uslovi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projektuju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izvode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mere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imenovanja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projektanata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izrađuju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projekte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odgovornost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izradu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način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vođenja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evidencija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izdatim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oduzetim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licencama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ovlašćenjima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izradu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projekata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posebnih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sistema</w:t>
      </w:r>
      <w:r w:rsidR="00933F1A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14E08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B07D4" w:rsidRPr="009B3C06">
        <w:rPr>
          <w:rFonts w:ascii="Times New Roman" w:hAnsi="Times New Roman" w:cs="Times New Roman"/>
          <w:sz w:val="24"/>
          <w:szCs w:val="24"/>
          <w:lang w:val="uz-Cyrl-UZ"/>
        </w:rPr>
        <w:t>20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Nacrta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menja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dopunjuje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</w:t>
      </w:r>
      <w:r>
        <w:rPr>
          <w:rFonts w:ascii="Times New Roman" w:hAnsi="Times New Roman" w:cs="Times New Roman"/>
          <w:sz w:val="24"/>
          <w:szCs w:val="24"/>
          <w:lang w:val="sr-Cyrl-CS"/>
        </w:rPr>
        <w:t>an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zaštiti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požara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bliže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definisani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evakuacioni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putevi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pojašnjena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odredba</w:t>
      </w:r>
      <w:r w:rsidR="00E7719F"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660231" w:rsidRPr="009B3C06" w:rsidRDefault="00933F1A" w:rsidP="00042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3C0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9471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6023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19F" w:rsidRPr="009B3C0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A2793" w:rsidRPr="009B3C0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dopunjuje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definisani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izuzeci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propisom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utvrđena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ugradnje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blagovremeno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otkrivanje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dojavu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gašenje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54D3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EA2793" w:rsidRPr="009B3C0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dopunjen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43.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ispravnom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funkcionalnom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instalacija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sigurnosne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rasvete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sprovodila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navedena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EA2793" w:rsidRPr="009B3C0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vremenski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interval</w:t>
      </w:r>
      <w:r w:rsidR="00EA279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A279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EA279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kontrolisanje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instalacija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uređaja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dosadašnjih</w:t>
      </w:r>
      <w:r w:rsidR="00EA279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dvanaest</w:t>
      </w:r>
      <w:r w:rsidR="00C31389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zaklјučeno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dosadašnji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vremenski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interval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racionalan</w:t>
      </w:r>
      <w:r w:rsidR="00EA531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potvrđuju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zemalјa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okruženju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59DC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naziv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iznad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cilјu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pojašnjenja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nejasnoća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javlјale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771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izmenjen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regulisao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D295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starost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zasnivaju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raspoređuju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vatrogasnim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jedinicama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9E6231" w:rsidRPr="009B3C0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vremenski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interval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42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="00EE42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42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provera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znanja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zaposlenih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zavisnosti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ugroženosti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subjekat</w:t>
      </w:r>
      <w:r w:rsidR="003959DC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razvrstan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razgraničenje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obuke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1B334D" w:rsidRPr="009B3C0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definiše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obavlјati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6354D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1B334D" w:rsidRPr="009B3C0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73.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D65360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28D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7625" w:rsidRPr="009B3C06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6B7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3A6B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1B334D" w:rsidRPr="009B3C0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771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719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334D" w:rsidRPr="009B3C06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delu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388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terminološkog</w:t>
      </w:r>
      <w:r w:rsidR="00FC388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FC388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388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inspekcijskom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nadzoru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E03461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0428DF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U</w:t>
      </w:r>
      <w:r w:rsidR="006354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6354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19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C388F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76.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dužnosti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policijskih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službenika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7F7625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003D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76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7F762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54D3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FC388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>, 3</w:t>
      </w:r>
      <w:r w:rsidR="00FC388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FC388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izvršena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dodatna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preciziranja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čije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preduzimanje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naložiti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vršenja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sprovođenjem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utvrđenih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C003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003D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6354D3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FC388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0428D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80.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C003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003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003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DC003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C003D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0428D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0428D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terminološkog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usaglašavanja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ostalim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pogledu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naziva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pribavlјa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aspekta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primenjenih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požara</w:t>
      </w:r>
      <w:r w:rsidR="00FC388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C388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388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načina</w:t>
      </w:r>
      <w:r w:rsidR="00FC388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vršenja</w:t>
      </w:r>
      <w:r w:rsidR="00FC388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stručnog</w:t>
      </w:r>
      <w:r w:rsidR="00FC388F" w:rsidRPr="00FC3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DC003D" w:rsidRPr="00FC38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30503" w:rsidRPr="00E7719F" w:rsidRDefault="00DC003D" w:rsidP="00EA262E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471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6354D3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FC388F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, 3</w:t>
      </w:r>
      <w:r w:rsidR="00E7719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>, 38</w:t>
      </w:r>
      <w:r w:rsidR="00FC388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7F32" w:rsidRPr="009B3C06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="00FC388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388F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40</w:t>
      </w:r>
      <w:r w:rsidR="007D7F32" w:rsidRPr="009B3C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izmenjene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dodate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kaznene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izmenjenih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odredbi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A262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pojedine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prekršaje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uvedena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novčana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kazna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fiksnom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iznosu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prekršajnih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naloga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omogućio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efikasniji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kažnjavanja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rasteretili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sudski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314E08" w:rsidRPr="00E77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28DF" w:rsidRPr="00694713" w:rsidRDefault="009B3C06" w:rsidP="0069471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Članom</w:t>
      </w:r>
      <w:r w:rsidR="00EE4D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D7F32" w:rsidRPr="009B3C06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C74C5D" w:rsidRPr="009B3C06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EA262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Nacrta</w:t>
      </w:r>
      <w:r w:rsidR="000428DF" w:rsidRPr="000428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0428DF" w:rsidRPr="000428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propisano</w:t>
      </w:r>
      <w:r w:rsidR="000428DF" w:rsidRPr="000428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0428DF" w:rsidRPr="000428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stupanje</w:t>
      </w:r>
      <w:r w:rsidR="000428DF" w:rsidRPr="000428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0428DF" w:rsidRPr="000428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snagu</w:t>
      </w:r>
      <w:r w:rsidR="000428DF" w:rsidRPr="000428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69471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osmog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objavlјivanja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94713" w:rsidRPr="009B3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94713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C45979" w:rsidRPr="009B3C06" w:rsidRDefault="00C45979" w:rsidP="00DF5A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5979" w:rsidRPr="00C45979" w:rsidRDefault="000428DF" w:rsidP="00C4597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Finansijska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sredstva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potrebna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sprovođenje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ovog</w:t>
      </w:r>
      <w:r w:rsidR="00C45979" w:rsidRPr="00C459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b/>
          <w:sz w:val="24"/>
          <w:szCs w:val="24"/>
          <w:lang w:val="ru-RU"/>
        </w:rPr>
        <w:t>zakona</w:t>
      </w:r>
    </w:p>
    <w:p w:rsidR="00C45979" w:rsidRPr="00096E11" w:rsidRDefault="00C45979" w:rsidP="00C4597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59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sprovođenje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ovog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akona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nisu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potrebna</w:t>
      </w:r>
      <w:r w:rsidRPr="00C4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dodatna</w:t>
      </w:r>
      <w:r w:rsidR="00096E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finansijska</w:t>
      </w:r>
      <w:r w:rsidR="00096E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sredstva</w:t>
      </w:r>
      <w:r w:rsidR="00096E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096E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ru-RU"/>
        </w:rPr>
        <w:t>budžeta</w:t>
      </w:r>
      <w:r w:rsidR="00096E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Latn-CS"/>
        </w:rPr>
        <w:t>Republike</w:t>
      </w:r>
      <w:r w:rsidR="00096E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  <w:lang w:val="sr-Latn-CS"/>
        </w:rPr>
        <w:t>Srbije</w:t>
      </w:r>
      <w:r w:rsidR="00096E1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bookmarkEnd w:id="0"/>
    <w:p w:rsidR="00522BB1" w:rsidRPr="009B3C06" w:rsidRDefault="00522BB1" w:rsidP="00DF5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22BB1" w:rsidRPr="009B3C06" w:rsidSect="009A5C0E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06"/>
    <w:multiLevelType w:val="hybridMultilevel"/>
    <w:tmpl w:val="B50AB5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7CDD"/>
    <w:multiLevelType w:val="hybridMultilevel"/>
    <w:tmpl w:val="1F288BF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51EC"/>
    <w:multiLevelType w:val="hybridMultilevel"/>
    <w:tmpl w:val="AAFC300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3F22"/>
    <w:multiLevelType w:val="hybridMultilevel"/>
    <w:tmpl w:val="5378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FC4"/>
    <w:multiLevelType w:val="hybridMultilevel"/>
    <w:tmpl w:val="5DF29EFC"/>
    <w:lvl w:ilvl="0" w:tplc="4862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F5A79"/>
    <w:multiLevelType w:val="hybridMultilevel"/>
    <w:tmpl w:val="06AE8CC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1"/>
    <w:rsid w:val="0000023F"/>
    <w:rsid w:val="00001841"/>
    <w:rsid w:val="00007E95"/>
    <w:rsid w:val="000428DF"/>
    <w:rsid w:val="000459AE"/>
    <w:rsid w:val="00047782"/>
    <w:rsid w:val="00047950"/>
    <w:rsid w:val="00062727"/>
    <w:rsid w:val="000657ED"/>
    <w:rsid w:val="0007188B"/>
    <w:rsid w:val="00076259"/>
    <w:rsid w:val="0008244B"/>
    <w:rsid w:val="00096E11"/>
    <w:rsid w:val="000A2436"/>
    <w:rsid w:val="000B0E4B"/>
    <w:rsid w:val="000B728F"/>
    <w:rsid w:val="000C0D92"/>
    <w:rsid w:val="000C2780"/>
    <w:rsid w:val="000D0196"/>
    <w:rsid w:val="000D5D57"/>
    <w:rsid w:val="000E0C5D"/>
    <w:rsid w:val="000E3A32"/>
    <w:rsid w:val="00112749"/>
    <w:rsid w:val="00121B8A"/>
    <w:rsid w:val="001239CA"/>
    <w:rsid w:val="00157154"/>
    <w:rsid w:val="00157862"/>
    <w:rsid w:val="00166DDA"/>
    <w:rsid w:val="001859E2"/>
    <w:rsid w:val="0018658A"/>
    <w:rsid w:val="001B334D"/>
    <w:rsid w:val="001B3856"/>
    <w:rsid w:val="001E64AC"/>
    <w:rsid w:val="001F5384"/>
    <w:rsid w:val="00204FFC"/>
    <w:rsid w:val="00237D06"/>
    <w:rsid w:val="00241274"/>
    <w:rsid w:val="00250D38"/>
    <w:rsid w:val="00264001"/>
    <w:rsid w:val="00265ED7"/>
    <w:rsid w:val="00281919"/>
    <w:rsid w:val="00285D56"/>
    <w:rsid w:val="002909F3"/>
    <w:rsid w:val="002A2F2B"/>
    <w:rsid w:val="002A3CC8"/>
    <w:rsid w:val="002B31DA"/>
    <w:rsid w:val="002D33E4"/>
    <w:rsid w:val="002E5556"/>
    <w:rsid w:val="003045A6"/>
    <w:rsid w:val="00311D3E"/>
    <w:rsid w:val="00314E08"/>
    <w:rsid w:val="00324122"/>
    <w:rsid w:val="00325B47"/>
    <w:rsid w:val="00342311"/>
    <w:rsid w:val="00363491"/>
    <w:rsid w:val="00366033"/>
    <w:rsid w:val="0038228F"/>
    <w:rsid w:val="003839D8"/>
    <w:rsid w:val="0038504E"/>
    <w:rsid w:val="003860F7"/>
    <w:rsid w:val="00390728"/>
    <w:rsid w:val="00390942"/>
    <w:rsid w:val="0039579B"/>
    <w:rsid w:val="003959DC"/>
    <w:rsid w:val="003A668E"/>
    <w:rsid w:val="003A6B7F"/>
    <w:rsid w:val="003B3512"/>
    <w:rsid w:val="003B6137"/>
    <w:rsid w:val="003D375E"/>
    <w:rsid w:val="003E0A5F"/>
    <w:rsid w:val="00420680"/>
    <w:rsid w:val="00430503"/>
    <w:rsid w:val="00431E42"/>
    <w:rsid w:val="00442353"/>
    <w:rsid w:val="004442BB"/>
    <w:rsid w:val="00444BAA"/>
    <w:rsid w:val="004462DF"/>
    <w:rsid w:val="00457CBD"/>
    <w:rsid w:val="00470E9B"/>
    <w:rsid w:val="00473131"/>
    <w:rsid w:val="004937C1"/>
    <w:rsid w:val="00493819"/>
    <w:rsid w:val="004B158F"/>
    <w:rsid w:val="004B2B3F"/>
    <w:rsid w:val="004C7D74"/>
    <w:rsid w:val="004D142A"/>
    <w:rsid w:val="004E0A52"/>
    <w:rsid w:val="004E27A1"/>
    <w:rsid w:val="004F1362"/>
    <w:rsid w:val="004F47DF"/>
    <w:rsid w:val="0050452B"/>
    <w:rsid w:val="0050533A"/>
    <w:rsid w:val="00517E72"/>
    <w:rsid w:val="0052158E"/>
    <w:rsid w:val="00522BB1"/>
    <w:rsid w:val="00523792"/>
    <w:rsid w:val="00565155"/>
    <w:rsid w:val="00567E3A"/>
    <w:rsid w:val="00576D67"/>
    <w:rsid w:val="005A397F"/>
    <w:rsid w:val="005A4D8F"/>
    <w:rsid w:val="005C249B"/>
    <w:rsid w:val="005C5B25"/>
    <w:rsid w:val="005C66BA"/>
    <w:rsid w:val="005C7D6C"/>
    <w:rsid w:val="005D4E1D"/>
    <w:rsid w:val="005D5260"/>
    <w:rsid w:val="005D6125"/>
    <w:rsid w:val="005E3426"/>
    <w:rsid w:val="005F0470"/>
    <w:rsid w:val="005F5310"/>
    <w:rsid w:val="0060404D"/>
    <w:rsid w:val="00614592"/>
    <w:rsid w:val="0063537C"/>
    <w:rsid w:val="006354D3"/>
    <w:rsid w:val="006418B0"/>
    <w:rsid w:val="00647296"/>
    <w:rsid w:val="00651786"/>
    <w:rsid w:val="006517F2"/>
    <w:rsid w:val="00656709"/>
    <w:rsid w:val="00660231"/>
    <w:rsid w:val="00661300"/>
    <w:rsid w:val="00663A45"/>
    <w:rsid w:val="00666BCF"/>
    <w:rsid w:val="00694713"/>
    <w:rsid w:val="00694BAD"/>
    <w:rsid w:val="006B4796"/>
    <w:rsid w:val="006C57BC"/>
    <w:rsid w:val="006C5C05"/>
    <w:rsid w:val="006F7EA4"/>
    <w:rsid w:val="00703B13"/>
    <w:rsid w:val="0070641D"/>
    <w:rsid w:val="007073A7"/>
    <w:rsid w:val="00716675"/>
    <w:rsid w:val="00716BAA"/>
    <w:rsid w:val="00725EA5"/>
    <w:rsid w:val="007358D6"/>
    <w:rsid w:val="007465FA"/>
    <w:rsid w:val="0075234A"/>
    <w:rsid w:val="00754DE1"/>
    <w:rsid w:val="00756428"/>
    <w:rsid w:val="00763850"/>
    <w:rsid w:val="007755E9"/>
    <w:rsid w:val="007777E5"/>
    <w:rsid w:val="00777A55"/>
    <w:rsid w:val="00792913"/>
    <w:rsid w:val="00795C72"/>
    <w:rsid w:val="007B07D4"/>
    <w:rsid w:val="007B5CB1"/>
    <w:rsid w:val="007C2ECD"/>
    <w:rsid w:val="007C54DC"/>
    <w:rsid w:val="007D6554"/>
    <w:rsid w:val="007D7F32"/>
    <w:rsid w:val="007E1509"/>
    <w:rsid w:val="007F3843"/>
    <w:rsid w:val="007F4243"/>
    <w:rsid w:val="007F7625"/>
    <w:rsid w:val="0084140A"/>
    <w:rsid w:val="00853CD8"/>
    <w:rsid w:val="00855CE2"/>
    <w:rsid w:val="008830BB"/>
    <w:rsid w:val="00886784"/>
    <w:rsid w:val="008A258A"/>
    <w:rsid w:val="008B1417"/>
    <w:rsid w:val="008B4E06"/>
    <w:rsid w:val="008B6294"/>
    <w:rsid w:val="008C0584"/>
    <w:rsid w:val="008C4D9F"/>
    <w:rsid w:val="008D2951"/>
    <w:rsid w:val="008E32C3"/>
    <w:rsid w:val="00904882"/>
    <w:rsid w:val="00911403"/>
    <w:rsid w:val="00921BB4"/>
    <w:rsid w:val="00933F1A"/>
    <w:rsid w:val="00952C1F"/>
    <w:rsid w:val="00953E9B"/>
    <w:rsid w:val="009557E2"/>
    <w:rsid w:val="00960C94"/>
    <w:rsid w:val="009621D8"/>
    <w:rsid w:val="00963AED"/>
    <w:rsid w:val="00987ED2"/>
    <w:rsid w:val="00990ECA"/>
    <w:rsid w:val="0099344B"/>
    <w:rsid w:val="009A5C0E"/>
    <w:rsid w:val="009B07DE"/>
    <w:rsid w:val="009B3C06"/>
    <w:rsid w:val="009C09C6"/>
    <w:rsid w:val="009D142D"/>
    <w:rsid w:val="009E6231"/>
    <w:rsid w:val="00A138E9"/>
    <w:rsid w:val="00A17355"/>
    <w:rsid w:val="00A27DEE"/>
    <w:rsid w:val="00A51ACC"/>
    <w:rsid w:val="00A521F7"/>
    <w:rsid w:val="00A55E6C"/>
    <w:rsid w:val="00A83215"/>
    <w:rsid w:val="00AA5E42"/>
    <w:rsid w:val="00AB11DC"/>
    <w:rsid w:val="00AE4B70"/>
    <w:rsid w:val="00AF48A2"/>
    <w:rsid w:val="00B0277E"/>
    <w:rsid w:val="00B03DB1"/>
    <w:rsid w:val="00B45684"/>
    <w:rsid w:val="00B56E0A"/>
    <w:rsid w:val="00B7735D"/>
    <w:rsid w:val="00B77FCE"/>
    <w:rsid w:val="00B8311B"/>
    <w:rsid w:val="00B8631E"/>
    <w:rsid w:val="00B90A71"/>
    <w:rsid w:val="00B9607B"/>
    <w:rsid w:val="00BA2235"/>
    <w:rsid w:val="00BD05DF"/>
    <w:rsid w:val="00BD1E61"/>
    <w:rsid w:val="00BE1FAC"/>
    <w:rsid w:val="00BE2948"/>
    <w:rsid w:val="00BE66B5"/>
    <w:rsid w:val="00C15456"/>
    <w:rsid w:val="00C22980"/>
    <w:rsid w:val="00C276EC"/>
    <w:rsid w:val="00C31389"/>
    <w:rsid w:val="00C40829"/>
    <w:rsid w:val="00C4580B"/>
    <w:rsid w:val="00C45979"/>
    <w:rsid w:val="00C5179B"/>
    <w:rsid w:val="00C51FC9"/>
    <w:rsid w:val="00C52982"/>
    <w:rsid w:val="00C634F0"/>
    <w:rsid w:val="00C74C5D"/>
    <w:rsid w:val="00C95D8D"/>
    <w:rsid w:val="00CB1A5A"/>
    <w:rsid w:val="00CE2A09"/>
    <w:rsid w:val="00CF7497"/>
    <w:rsid w:val="00D03F46"/>
    <w:rsid w:val="00D058AD"/>
    <w:rsid w:val="00D07709"/>
    <w:rsid w:val="00D16E04"/>
    <w:rsid w:val="00D2080F"/>
    <w:rsid w:val="00D223BA"/>
    <w:rsid w:val="00D23400"/>
    <w:rsid w:val="00D42E80"/>
    <w:rsid w:val="00D43BD7"/>
    <w:rsid w:val="00D607BD"/>
    <w:rsid w:val="00D6113D"/>
    <w:rsid w:val="00D65360"/>
    <w:rsid w:val="00DA2648"/>
    <w:rsid w:val="00DA279F"/>
    <w:rsid w:val="00DB7124"/>
    <w:rsid w:val="00DC003D"/>
    <w:rsid w:val="00DC3A30"/>
    <w:rsid w:val="00DC4860"/>
    <w:rsid w:val="00DD48E6"/>
    <w:rsid w:val="00DF30E1"/>
    <w:rsid w:val="00DF5A6C"/>
    <w:rsid w:val="00DF5CA1"/>
    <w:rsid w:val="00E03461"/>
    <w:rsid w:val="00E20A4A"/>
    <w:rsid w:val="00E21140"/>
    <w:rsid w:val="00E31470"/>
    <w:rsid w:val="00E4154A"/>
    <w:rsid w:val="00E7719F"/>
    <w:rsid w:val="00EA262E"/>
    <w:rsid w:val="00EA2793"/>
    <w:rsid w:val="00EA3AE9"/>
    <w:rsid w:val="00EA45B0"/>
    <w:rsid w:val="00EA531D"/>
    <w:rsid w:val="00EA59B6"/>
    <w:rsid w:val="00EB0DC7"/>
    <w:rsid w:val="00EB1A37"/>
    <w:rsid w:val="00EB3D56"/>
    <w:rsid w:val="00EB5A38"/>
    <w:rsid w:val="00EC2948"/>
    <w:rsid w:val="00ED41F3"/>
    <w:rsid w:val="00EE429F"/>
    <w:rsid w:val="00EE4DDF"/>
    <w:rsid w:val="00EF2AFE"/>
    <w:rsid w:val="00EF3BA0"/>
    <w:rsid w:val="00EF6CE3"/>
    <w:rsid w:val="00F24865"/>
    <w:rsid w:val="00F259B3"/>
    <w:rsid w:val="00F27C6D"/>
    <w:rsid w:val="00F418EC"/>
    <w:rsid w:val="00F4569F"/>
    <w:rsid w:val="00F55E42"/>
    <w:rsid w:val="00F56167"/>
    <w:rsid w:val="00F62552"/>
    <w:rsid w:val="00F75784"/>
    <w:rsid w:val="00F943C1"/>
    <w:rsid w:val="00FB0F04"/>
    <w:rsid w:val="00FB10D9"/>
    <w:rsid w:val="00FB3FF6"/>
    <w:rsid w:val="00FC388F"/>
    <w:rsid w:val="00FE0118"/>
    <w:rsid w:val="00FE45E5"/>
    <w:rsid w:val="00FF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32AB-A775-48CE-A919-B65AC75A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Djuric</dc:creator>
  <cp:lastModifiedBy>Beba Valcic</cp:lastModifiedBy>
  <cp:revision>2</cp:revision>
  <cp:lastPrinted>2020-01-24T12:45:00Z</cp:lastPrinted>
  <dcterms:created xsi:type="dcterms:W3CDTF">2020-01-24T12:46:00Z</dcterms:created>
  <dcterms:modified xsi:type="dcterms:W3CDTF">2020-01-24T12:46:00Z</dcterms:modified>
</cp:coreProperties>
</file>