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B5" w:rsidRDefault="00B610EF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8A41B5" w:rsidRDefault="00B610EF">
      <w:pPr>
        <w:spacing w:after="150"/>
        <w:jc w:val="right"/>
      </w:pPr>
      <w:r>
        <w:rPr>
          <w:b/>
          <w:color w:val="000000"/>
        </w:rPr>
        <w:t>Редакцијски пречишћен текст</w:t>
      </w:r>
    </w:p>
    <w:p w:rsidR="008A41B5" w:rsidRDefault="00B610EF">
      <w:pPr>
        <w:spacing w:after="150"/>
      </w:pPr>
      <w:r>
        <w:rPr>
          <w:color w:val="000000"/>
        </w:rPr>
        <w:t> </w:t>
      </w:r>
    </w:p>
    <w:p w:rsidR="008A41B5" w:rsidRDefault="00B610EF">
      <w:pPr>
        <w:spacing w:after="150"/>
      </w:pPr>
      <w:r>
        <w:rPr>
          <w:color w:val="000000"/>
        </w:rPr>
        <w:t> </w:t>
      </w:r>
    </w:p>
    <w:p w:rsidR="008A41B5" w:rsidRDefault="00B610EF">
      <w:pPr>
        <w:spacing w:after="150"/>
      </w:pPr>
      <w:r>
        <w:rPr>
          <w:color w:val="000000"/>
        </w:rPr>
        <w:t xml:space="preserve">На основу члана 17. 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 xml:space="preserve">. 1.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члана 24.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2. Закона о Влади („Службени гласник РС”, бр. 55/05, 71/05 </w:t>
      </w:r>
      <w:r>
        <w:rPr>
          <w:color w:val="000000"/>
        </w:rPr>
        <w:t>– исправка, 101/07, 65/08, 16/11, 68/12 – УС, 72/12, 7/14 – УС и 44/14) и члана 44а Закона о заштити од пожара („Службени гласник РС”, бр. 111/09 и 20/15),</w:t>
      </w:r>
    </w:p>
    <w:p w:rsidR="008A41B5" w:rsidRDefault="00B610EF">
      <w:pPr>
        <w:spacing w:after="150"/>
      </w:pPr>
      <w:r>
        <w:rPr>
          <w:color w:val="000000"/>
        </w:rPr>
        <w:t>Министар унутрашњих послова доноси</w:t>
      </w:r>
    </w:p>
    <w:p w:rsidR="008A41B5" w:rsidRDefault="00B610EF">
      <w:pPr>
        <w:spacing w:after="225"/>
        <w:jc w:val="center"/>
      </w:pPr>
      <w:r>
        <w:rPr>
          <w:b/>
          <w:color w:val="000000"/>
        </w:rPr>
        <w:t>ПРАВИЛНИК</w:t>
      </w:r>
    </w:p>
    <w:p w:rsidR="008A41B5" w:rsidRDefault="00B610EF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техничким захтевима безбедности од пожара спољних зид</w:t>
      </w:r>
      <w:r>
        <w:rPr>
          <w:b/>
          <w:color w:val="000000"/>
        </w:rPr>
        <w:t>ова зграда</w:t>
      </w:r>
    </w:p>
    <w:p w:rsidR="008A41B5" w:rsidRDefault="00B610EF">
      <w:pPr>
        <w:spacing w:after="150"/>
        <w:jc w:val="center"/>
      </w:pPr>
      <w:r>
        <w:rPr>
          <w:color w:val="000000"/>
        </w:rPr>
        <w:t xml:space="preserve">"Службени гласник РС", бр. 59 од 28.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2016, 36 од 13.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2017, 6 од 1.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2019.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1.</w:t>
      </w:r>
    </w:p>
    <w:p w:rsidR="008A41B5" w:rsidRDefault="00B610EF">
      <w:pPr>
        <w:spacing w:after="150"/>
      </w:pPr>
      <w:r>
        <w:rPr>
          <w:color w:val="000000"/>
        </w:rPr>
        <w:t>Овим правилником прописују се технички захтеви безбедности од пожара које грађевински производи у саставу (структури) спољних зидова морају исп</w:t>
      </w:r>
      <w:r>
        <w:rPr>
          <w:color w:val="000000"/>
        </w:rPr>
        <w:t>унити приликом пројектовања, изградње, реконструкције, доградње, адаптације, употребе и одржавања стамбених зграда, пословних зграда, зграда јавне намене, индустријских зграда и складишта, као и приликом извођења радова на спољном зиду ради унапређења енер</w:t>
      </w:r>
      <w:r>
        <w:rPr>
          <w:color w:val="000000"/>
        </w:rPr>
        <w:t xml:space="preserve">гетске ефикасности </w:t>
      </w:r>
      <w:r>
        <w:rPr>
          <w:b/>
          <w:color w:val="000000"/>
        </w:rPr>
        <w:t>како би се спречило настајање пожара на спољним зидовима зграда и његово ширење по тим зидовима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36/2017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2.</w:t>
      </w:r>
    </w:p>
    <w:p w:rsidR="008A41B5" w:rsidRDefault="00B610EF">
      <w:pPr>
        <w:spacing w:after="150"/>
      </w:pPr>
      <w:r>
        <w:rPr>
          <w:color w:val="000000"/>
        </w:rPr>
        <w:t>Отпорност према пожару спољних зидова и прекидна вертикална и хоризонтална растојања нису предме</w:t>
      </w:r>
      <w:r>
        <w:rPr>
          <w:color w:val="000000"/>
        </w:rPr>
        <w:t>т овог правилника.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3.</w:t>
      </w:r>
    </w:p>
    <w:p w:rsidR="008A41B5" w:rsidRDefault="00B610EF">
      <w:pPr>
        <w:spacing w:after="150"/>
      </w:pPr>
      <w:r>
        <w:rPr>
          <w:color w:val="000000"/>
        </w:rPr>
        <w:t>Овим правилником обухваћене су следеће врсте спољних зидова:</w:t>
      </w:r>
    </w:p>
    <w:p w:rsidR="008A41B5" w:rsidRDefault="00B610E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зидани</w:t>
      </w:r>
      <w:proofErr w:type="gramEnd"/>
      <w:r>
        <w:rPr>
          <w:color w:val="000000"/>
        </w:rPr>
        <w:t xml:space="preserve"> (опека, блокови и сл.) или бетонски (ливени на лицу места или префабриковани) зидови са топлотно-изолационим слојем и спољним зиданим, бетонским и другим слич</w:t>
      </w:r>
      <w:r>
        <w:rPr>
          <w:color w:val="000000"/>
        </w:rPr>
        <w:t>ним слојем за заштиту од дејства атмосферилија, без вентилисаног ваздушног слоја – међупростора; самоносећи префабриковани фасадни панели;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зидани</w:t>
      </w:r>
      <w:proofErr w:type="gramEnd"/>
      <w:r>
        <w:rPr>
          <w:b/>
          <w:color w:val="000000"/>
        </w:rPr>
        <w:t xml:space="preserve"> (опека, блокови и сл.) или бетонски (ливени на лицу места или префабриковани) зидови са топлотно-изолациони</w:t>
      </w:r>
      <w:r>
        <w:rPr>
          <w:b/>
          <w:color w:val="000000"/>
        </w:rPr>
        <w:t xml:space="preserve">м слојем и </w:t>
      </w:r>
      <w:r>
        <w:rPr>
          <w:b/>
          <w:color w:val="000000"/>
        </w:rPr>
        <w:lastRenderedPageBreak/>
        <w:t>спољним зиданим, бетонским или било којим другим слојем за заштиту од дејства атмосферилија, са укљученим вентилисаним ваздушним слојем/међупростором (вентилисани спољни зид);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зидани</w:t>
      </w:r>
      <w:proofErr w:type="gramEnd"/>
      <w:r>
        <w:rPr>
          <w:color w:val="000000"/>
        </w:rPr>
        <w:t xml:space="preserve"> (опека, блокови и сл.) или бетонски (ливени на лицу места </w:t>
      </w:r>
      <w:r>
        <w:rPr>
          <w:color w:val="000000"/>
        </w:rPr>
        <w:t>или префабриковани) зидови са контактним топлотно-изолационим системом (ETICS).</w:t>
      </w:r>
    </w:p>
    <w:p w:rsidR="008A41B5" w:rsidRDefault="00B610EF">
      <w:pPr>
        <w:spacing w:after="150"/>
      </w:pPr>
      <w:r>
        <w:rPr>
          <w:color w:val="000000"/>
        </w:rPr>
        <w:t xml:space="preserve">Графички приказ спољних зидова из тач. 1), 2) и 3) одштампан је у Прилогу 1. </w:t>
      </w:r>
      <w:proofErr w:type="gramStart"/>
      <w:r>
        <w:rPr>
          <w:color w:val="000000"/>
        </w:rPr>
        <w:t>уз</w:t>
      </w:r>
      <w:proofErr w:type="gramEnd"/>
      <w:r>
        <w:rPr>
          <w:color w:val="000000"/>
        </w:rPr>
        <w:t xml:space="preserve"> овај правилник и чини његов саставни део.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36/2017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4.</w:t>
      </w:r>
    </w:p>
    <w:p w:rsidR="008A41B5" w:rsidRDefault="00B610EF">
      <w:pPr>
        <w:spacing w:after="150"/>
      </w:pPr>
      <w:r>
        <w:rPr>
          <w:color w:val="000000"/>
        </w:rPr>
        <w:t>Термини и п</w:t>
      </w:r>
      <w:r>
        <w:rPr>
          <w:color w:val="000000"/>
        </w:rPr>
        <w:t>ојмови употребљени у овом правилнику имају следеће значење:</w:t>
      </w:r>
    </w:p>
    <w:p w:rsidR="008A41B5" w:rsidRDefault="00B610EF">
      <w:pPr>
        <w:spacing w:after="150"/>
      </w:pPr>
      <w:r>
        <w:rPr>
          <w:color w:val="000000"/>
        </w:rPr>
        <w:t xml:space="preserve">1) </w:t>
      </w:r>
      <w:r>
        <w:rPr>
          <w:b/>
          <w:color w:val="000000"/>
        </w:rPr>
        <w:t>Спољни зид</w:t>
      </w:r>
      <w:r>
        <w:rPr>
          <w:color w:val="000000"/>
        </w:rPr>
        <w:t xml:space="preserve"> је једнослојна или вишеслојна, носећа или неносећа зидна конструкција која дели простор унутар зграде од спољног окружења;</w:t>
      </w:r>
    </w:p>
    <w:p w:rsidR="008A41B5" w:rsidRDefault="00B610EF">
      <w:pPr>
        <w:spacing w:after="150"/>
      </w:pPr>
      <w:r>
        <w:rPr>
          <w:color w:val="000000"/>
        </w:rPr>
        <w:t xml:space="preserve">2) </w:t>
      </w:r>
      <w:r>
        <w:rPr>
          <w:b/>
          <w:color w:val="000000"/>
        </w:rPr>
        <w:t>Висина зграде,</w:t>
      </w:r>
      <w:r>
        <w:rPr>
          <w:color w:val="000000"/>
        </w:rPr>
        <w:t xml:space="preserve"> у смислу овог правилника, је разлика изме</w:t>
      </w:r>
      <w:r>
        <w:rPr>
          <w:color w:val="000000"/>
        </w:rPr>
        <w:t>ђу коте коловоза уз зграду, или платоа намењеног за ватрогасно возило, с којег би се интервенисало у случају пожара у згради, и коте пода највишег спрата на коме бораве људи;</w:t>
      </w:r>
    </w:p>
    <w:p w:rsidR="008A41B5" w:rsidRDefault="00B610EF">
      <w:pPr>
        <w:spacing w:after="150"/>
      </w:pPr>
      <w:r>
        <w:rPr>
          <w:color w:val="000000"/>
        </w:rPr>
        <w:t xml:space="preserve">3) </w:t>
      </w:r>
      <w:r>
        <w:rPr>
          <w:b/>
          <w:color w:val="000000"/>
        </w:rPr>
        <w:t>Битан саставни део</w:t>
      </w:r>
      <w:r>
        <w:rPr>
          <w:color w:val="000000"/>
        </w:rPr>
        <w:t xml:space="preserve"> спољног зида јесте елемент или део композиције елемената ко</w:t>
      </w:r>
      <w:r>
        <w:rPr>
          <w:color w:val="000000"/>
        </w:rPr>
        <w:t>ји је значајан у погледу реакције на пожар: слој масе по јединици површине ≥1</w:t>
      </w:r>
      <w:proofErr w:type="gramStart"/>
      <w:r>
        <w:rPr>
          <w:color w:val="000000"/>
        </w:rPr>
        <w:t>,0</w:t>
      </w:r>
      <w:proofErr w:type="gramEnd"/>
      <w:r>
        <w:rPr>
          <w:color w:val="000000"/>
        </w:rPr>
        <w:t xml:space="preserve"> kg/m² или дебљине </w:t>
      </w:r>
      <w:r>
        <w:rPr>
          <w:b/>
          <w:color w:val="000000"/>
        </w:rPr>
        <w:t>≥2,0 mm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 Битан саставни део спољног зида испитује се у погледу реакције на пожар;</w:t>
      </w:r>
    </w:p>
    <w:p w:rsidR="008A41B5" w:rsidRDefault="00B610EF">
      <w:pPr>
        <w:spacing w:after="150"/>
      </w:pPr>
      <w:r>
        <w:rPr>
          <w:color w:val="000000"/>
        </w:rPr>
        <w:t xml:space="preserve">4) </w:t>
      </w:r>
      <w:r>
        <w:rPr>
          <w:b/>
          <w:color w:val="000000"/>
        </w:rPr>
        <w:t>Небитан саставни део</w:t>
      </w:r>
      <w:r>
        <w:rPr>
          <w:color w:val="000000"/>
        </w:rPr>
        <w:t xml:space="preserve"> спољног зида је елемент или део композиције елемената који није значајан у погледу реакције на пожар, а који има:</w:t>
      </w:r>
    </w:p>
    <w:p w:rsidR="008A41B5" w:rsidRDefault="00B610EF">
      <w:pPr>
        <w:spacing w:after="150"/>
      </w:pPr>
      <w:r>
        <w:rPr>
          <w:color w:val="000000"/>
        </w:rPr>
        <w:t xml:space="preserve">(1) </w:t>
      </w:r>
      <w:proofErr w:type="gramStart"/>
      <w:r>
        <w:rPr>
          <w:color w:val="000000"/>
        </w:rPr>
        <w:t>дебљину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&lt;2,0 mm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>и</w:t>
      </w:r>
      <w:r>
        <w:rPr>
          <w:rFonts w:ascii="Calibri"/>
          <w:b/>
          <w:color w:val="000000"/>
          <w:vertAlign w:val="superscript"/>
        </w:rPr>
        <w:t>**</w:t>
      </w:r>
    </w:p>
    <w:p w:rsidR="008A41B5" w:rsidRDefault="00B610EF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слој</w:t>
      </w:r>
      <w:proofErr w:type="gramEnd"/>
      <w:r>
        <w:rPr>
          <w:color w:val="000000"/>
        </w:rPr>
        <w:t xml:space="preserve"> масе по јединици површине &lt;1,0 kg/m²;</w:t>
      </w:r>
    </w:p>
    <w:p w:rsidR="008A41B5" w:rsidRDefault="00B610EF">
      <w:pPr>
        <w:spacing w:after="150"/>
      </w:pPr>
      <w:r>
        <w:rPr>
          <w:b/>
          <w:color w:val="000000"/>
        </w:rPr>
        <w:t>4а) Топлотно изолационa компонента</w:t>
      </w:r>
      <w:r>
        <w:rPr>
          <w:color w:val="000000"/>
        </w:rPr>
        <w:t xml:space="preserve"> – </w:t>
      </w:r>
      <w:r>
        <w:rPr>
          <w:b/>
          <w:color w:val="000000"/>
        </w:rPr>
        <w:t xml:space="preserve">топлотно-изолациони слој је у </w:t>
      </w:r>
      <w:r>
        <w:rPr>
          <w:b/>
          <w:color w:val="000000"/>
        </w:rPr>
        <w:t>саставу спољног зида зграде и увек се сматра битним саставним делом спољног зида;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 xml:space="preserve">Два или више небитних слојева постављених један преко другог (то јест без битног саставног дела између тих слојева) сматрају се једним небитним саставним делом, ако у збиру </w:t>
      </w:r>
      <w:r>
        <w:rPr>
          <w:color w:val="000000"/>
        </w:rPr>
        <w:t>сви заједно испуњавају захтеве за небитан саставни део;</w:t>
      </w:r>
    </w:p>
    <w:p w:rsidR="008A41B5" w:rsidRDefault="00B610EF">
      <w:pPr>
        <w:spacing w:after="150"/>
      </w:pPr>
      <w:r>
        <w:rPr>
          <w:color w:val="000000"/>
        </w:rPr>
        <w:t xml:space="preserve">5) </w:t>
      </w:r>
      <w:r>
        <w:rPr>
          <w:b/>
          <w:color w:val="000000"/>
        </w:rPr>
        <w:t>Негориви грађевински материјали</w:t>
      </w:r>
      <w:r>
        <w:rPr>
          <w:color w:val="000000"/>
        </w:rPr>
        <w:t xml:space="preserve"> су материјали класе реакције на пожар А1 и А2 према SRPS EN 13501-1;</w:t>
      </w:r>
    </w:p>
    <w:p w:rsidR="008A41B5" w:rsidRDefault="00B610EF">
      <w:pPr>
        <w:spacing w:after="150"/>
      </w:pPr>
      <w:r>
        <w:rPr>
          <w:color w:val="000000"/>
        </w:rPr>
        <w:t xml:space="preserve">6) </w:t>
      </w:r>
      <w:r>
        <w:rPr>
          <w:b/>
          <w:color w:val="000000"/>
        </w:rPr>
        <w:t>Гориви грађевински материјали</w:t>
      </w:r>
      <w:r>
        <w:rPr>
          <w:color w:val="000000"/>
        </w:rPr>
        <w:t xml:space="preserve"> су материјали класе реакције на пожар B, C, D, E и F према SRPS</w:t>
      </w:r>
      <w:r>
        <w:rPr>
          <w:color w:val="000000"/>
        </w:rPr>
        <w:t xml:space="preserve"> EN 13501-1;</w:t>
      </w:r>
    </w:p>
    <w:p w:rsidR="008A41B5" w:rsidRDefault="00B610EF">
      <w:pPr>
        <w:spacing w:after="150"/>
      </w:pPr>
      <w:r>
        <w:rPr>
          <w:color w:val="000000"/>
        </w:rPr>
        <w:lastRenderedPageBreak/>
        <w:t xml:space="preserve">7) </w:t>
      </w:r>
      <w:r>
        <w:rPr>
          <w:b/>
          <w:color w:val="000000"/>
        </w:rPr>
        <w:t>Продукција дима</w:t>
      </w:r>
      <w:r>
        <w:rPr>
          <w:color w:val="000000"/>
        </w:rPr>
        <w:t xml:space="preserve"> је карактеристика материјала при горењу класификационе ознаке s1, s2 и s3 према SRPS EN 13501-1;</w:t>
      </w:r>
    </w:p>
    <w:p w:rsidR="008A41B5" w:rsidRDefault="00B610EF">
      <w:pPr>
        <w:spacing w:after="150"/>
      </w:pPr>
      <w:r>
        <w:rPr>
          <w:color w:val="000000"/>
        </w:rPr>
        <w:t xml:space="preserve">8) </w:t>
      </w:r>
      <w:r>
        <w:rPr>
          <w:b/>
          <w:color w:val="000000"/>
        </w:rPr>
        <w:t>Горуће капљице</w:t>
      </w:r>
      <w:r>
        <w:rPr>
          <w:color w:val="000000"/>
        </w:rPr>
        <w:t xml:space="preserve"> су карактеристика материјала при горењу класификационе ознаке d0, d1 и d2 према SRPS EN 13501-1.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9) Естетски </w:t>
      </w:r>
      <w:r>
        <w:rPr>
          <w:b/>
          <w:color w:val="000000"/>
        </w:rPr>
        <w:t>слој</w:t>
      </w:r>
      <w:r>
        <w:rPr>
          <w:color w:val="000000"/>
        </w:rPr>
        <w:t xml:space="preserve"> </w:t>
      </w:r>
      <w:r>
        <w:rPr>
          <w:b/>
          <w:color w:val="000000"/>
        </w:rPr>
        <w:t>је слој којим се унапређује изглед зграде и додат је на спољне зидове зграда после: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proofErr w:type="gramStart"/>
      <w:r>
        <w:rPr>
          <w:b/>
          <w:color w:val="000000"/>
        </w:rPr>
        <w:t>система</w:t>
      </w:r>
      <w:proofErr w:type="gramEnd"/>
      <w:r>
        <w:rPr>
          <w:b/>
          <w:color w:val="000000"/>
        </w:rPr>
        <w:t xml:space="preserve"> из Табеле 1, 2.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3, при чему систем мора испуњавати услове из члана 7.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правилника;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proofErr w:type="gramStart"/>
      <w:r>
        <w:rPr>
          <w:b/>
          <w:color w:val="000000"/>
        </w:rPr>
        <w:t>спољног</w:t>
      </w:r>
      <w:proofErr w:type="gramEnd"/>
      <w:r>
        <w:rPr>
          <w:b/>
          <w:color w:val="000000"/>
        </w:rPr>
        <w:t xml:space="preserve"> слоја као компоненте из Табеле 1.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2, при чему спољ</w:t>
      </w:r>
      <w:r>
        <w:rPr>
          <w:b/>
          <w:color w:val="000000"/>
        </w:rPr>
        <w:t xml:space="preserve">ни слој мора испуњавати услове из члана 7.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правилника;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proofErr w:type="gramStart"/>
      <w:r>
        <w:rPr>
          <w:b/>
          <w:color w:val="000000"/>
        </w:rPr>
        <w:t>завршног</w:t>
      </w:r>
      <w:proofErr w:type="gramEnd"/>
      <w:r>
        <w:rPr>
          <w:b/>
          <w:color w:val="000000"/>
        </w:rPr>
        <w:t xml:space="preserve"> слоја као компоненте из Табеле 3, при чему завршни слој мора испуњавати услове из члана 7.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Изузетно, естетски слој може бити део система, односно завршна или спољаш</w:t>
      </w:r>
      <w:r>
        <w:rPr>
          <w:b/>
          <w:color w:val="000000"/>
        </w:rPr>
        <w:t xml:space="preserve">ња компонента из члана 7.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36/2017</w:t>
      </w:r>
    </w:p>
    <w:p w:rsidR="008A41B5" w:rsidRDefault="00B610EF">
      <w:pPr>
        <w:spacing w:after="150"/>
      </w:pPr>
      <w:r>
        <w:rPr>
          <w:color w:val="000000"/>
        </w:rPr>
        <w:t>**Службени гласник РС, број 6/2019</w:t>
      </w:r>
    </w:p>
    <w:p w:rsidR="008A41B5" w:rsidRDefault="00B610EF">
      <w:pPr>
        <w:spacing w:after="150"/>
        <w:jc w:val="center"/>
      </w:pPr>
      <w:r>
        <w:rPr>
          <w:b/>
          <w:color w:val="000000"/>
        </w:rPr>
        <w:t>Члан 5.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Зграде у смислу овог правилника разврставају се у следеће категорије: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1) Категорија „А” која обухвата: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proofErr w:type="gramStart"/>
      <w:r>
        <w:rPr>
          <w:b/>
          <w:color w:val="000000"/>
        </w:rPr>
        <w:t>помоћне</w:t>
      </w:r>
      <w:proofErr w:type="gramEnd"/>
      <w:r>
        <w:rPr>
          <w:b/>
          <w:color w:val="000000"/>
        </w:rPr>
        <w:t xml:space="preserve"> зграде;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proofErr w:type="gramStart"/>
      <w:r>
        <w:rPr>
          <w:b/>
          <w:color w:val="000000"/>
        </w:rPr>
        <w:t>мал</w:t>
      </w:r>
      <w:r>
        <w:rPr>
          <w:b/>
          <w:color w:val="000000"/>
        </w:rPr>
        <w:t>е</w:t>
      </w:r>
      <w:proofErr w:type="gramEnd"/>
      <w:r>
        <w:rPr>
          <w:b/>
          <w:color w:val="000000"/>
        </w:rPr>
        <w:t xml:space="preserve"> надземне гараже дефинисане посебним прописом;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2) Категорија „Б” која обухвата: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proofErr w:type="gramStart"/>
      <w:r>
        <w:rPr>
          <w:b/>
          <w:color w:val="000000"/>
        </w:rPr>
        <w:t>стамбене</w:t>
      </w:r>
      <w:proofErr w:type="gramEnd"/>
      <w:r>
        <w:rPr>
          <w:b/>
          <w:color w:val="000000"/>
        </w:rPr>
        <w:t>, стамбено пословне, пословно стамбене, пословне зграде и зграде јавне намене, максималне БРГП највише 400 m²;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proofErr w:type="gramStart"/>
      <w:r>
        <w:rPr>
          <w:b/>
          <w:color w:val="000000"/>
        </w:rPr>
        <w:t>подземно</w:t>
      </w:r>
      <w:proofErr w:type="gramEnd"/>
      <w:r>
        <w:rPr>
          <w:b/>
          <w:color w:val="000000"/>
        </w:rPr>
        <w:t xml:space="preserve"> надземне и средње надземне гараже де</w:t>
      </w:r>
      <w:r>
        <w:rPr>
          <w:b/>
          <w:color w:val="000000"/>
        </w:rPr>
        <w:t>финисане посебним прописом;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proofErr w:type="gramStart"/>
      <w:r>
        <w:rPr>
          <w:b/>
          <w:color w:val="000000"/>
        </w:rPr>
        <w:t>слободностојеће</w:t>
      </w:r>
      <w:proofErr w:type="gramEnd"/>
      <w:r>
        <w:rPr>
          <w:b/>
          <w:color w:val="000000"/>
        </w:rPr>
        <w:t xml:space="preserve"> хладњаче удаљене од других објеката најмање 10 m;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(4) </w:t>
      </w:r>
      <w:proofErr w:type="gramStart"/>
      <w:r>
        <w:rPr>
          <w:b/>
          <w:color w:val="000000"/>
        </w:rPr>
        <w:t>радионице</w:t>
      </w:r>
      <w:proofErr w:type="gramEnd"/>
      <w:r>
        <w:rPr>
          <w:b/>
          <w:color w:val="000000"/>
        </w:rPr>
        <w:t xml:space="preserve"> максималне БРГП највише 400 m² и слободностојећа електроенергетска постројења високог напона;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3) Категорија „В1” која обухвата: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r>
        <w:rPr>
          <w:b/>
          <w:color w:val="000000"/>
        </w:rPr>
        <w:t xml:space="preserve">стамбене, стамбено-пословне, пословно-стамбене и пословне зграде БРГП површине од 400 m² до 2000 m² и висине највише 15 m, </w:t>
      </w:r>
      <w:r>
        <w:rPr>
          <w:b/>
          <w:color w:val="000000"/>
        </w:rPr>
        <w:lastRenderedPageBreak/>
        <w:t>као и зграде јавне намене БРГП преко 400 m² и висине највише 15 m;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proofErr w:type="gramStart"/>
      <w:r>
        <w:rPr>
          <w:b/>
          <w:color w:val="000000"/>
        </w:rPr>
        <w:t>велике</w:t>
      </w:r>
      <w:proofErr w:type="gramEnd"/>
      <w:r>
        <w:rPr>
          <w:b/>
          <w:color w:val="000000"/>
        </w:rPr>
        <w:t xml:space="preserve"> надземне гараже дефинисане посебним прописом;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proofErr w:type="gramStart"/>
      <w:r>
        <w:rPr>
          <w:b/>
          <w:color w:val="000000"/>
        </w:rPr>
        <w:t>складишта</w:t>
      </w:r>
      <w:proofErr w:type="gramEnd"/>
      <w:r>
        <w:rPr>
          <w:b/>
          <w:color w:val="000000"/>
        </w:rPr>
        <w:t xml:space="preserve"> (укључујући и слободностојеће хладњаче удаљене од других објеката мање од 10 m) дефинисана посебним прописом;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(4) </w:t>
      </w:r>
      <w:proofErr w:type="gramStart"/>
      <w:r>
        <w:rPr>
          <w:b/>
          <w:color w:val="000000"/>
        </w:rPr>
        <w:t>радионице</w:t>
      </w:r>
      <w:proofErr w:type="gramEnd"/>
      <w:r>
        <w:rPr>
          <w:b/>
          <w:color w:val="000000"/>
        </w:rPr>
        <w:t xml:space="preserve"> БРГП преко 400 m² и индустријске зграде;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4) Категорија „В2” која обухвата: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(1) стамбене, стамбено-пословне, пословно-ст</w:t>
      </w:r>
      <w:r>
        <w:rPr>
          <w:b/>
          <w:color w:val="000000"/>
        </w:rPr>
        <w:t>амбене и пословне зграде БРГП површине преко 2000 m² или висине од 15 m до 22 m и зграде јавне намене висине од 15 m до 22 m;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proofErr w:type="gramStart"/>
      <w:r>
        <w:rPr>
          <w:b/>
          <w:color w:val="000000"/>
        </w:rPr>
        <w:t>зграде</w:t>
      </w:r>
      <w:proofErr w:type="gramEnd"/>
      <w:r>
        <w:rPr>
          <w:b/>
          <w:color w:val="000000"/>
        </w:rPr>
        <w:t xml:space="preserve"> повећаног ризика у погледу евакуације у случају хитности (вртићи, школе, факултети, домови здравља, болнице, домови за</w:t>
      </w:r>
      <w:r>
        <w:rPr>
          <w:b/>
          <w:color w:val="000000"/>
        </w:rPr>
        <w:t xml:space="preserve"> стара лица, стационари и установе за лица с посебним потребама и сл.) капацитета највише 500 лица;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proofErr w:type="gramStart"/>
      <w:r>
        <w:rPr>
          <w:b/>
          <w:color w:val="000000"/>
        </w:rPr>
        <w:t>зграде</w:t>
      </w:r>
      <w:proofErr w:type="gramEnd"/>
      <w:r>
        <w:rPr>
          <w:b/>
          <w:color w:val="000000"/>
        </w:rPr>
        <w:t xml:space="preserve"> јавне намене у којима се окупља од 200 до 500 лица;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5) Категорија „Г” која обухвата: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(1) </w:t>
      </w:r>
      <w:proofErr w:type="gramStart"/>
      <w:r>
        <w:rPr>
          <w:b/>
          <w:color w:val="000000"/>
        </w:rPr>
        <w:t>стамбене</w:t>
      </w:r>
      <w:proofErr w:type="gramEnd"/>
      <w:r>
        <w:rPr>
          <w:b/>
          <w:color w:val="000000"/>
        </w:rPr>
        <w:t>, стамбено-пословне, пословно-стамбене и посл</w:t>
      </w:r>
      <w:r>
        <w:rPr>
          <w:b/>
          <w:color w:val="000000"/>
        </w:rPr>
        <w:t>овне зграде и зграде јавне намене, висине од 22 m до 30 m;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(2) </w:t>
      </w:r>
      <w:proofErr w:type="gramStart"/>
      <w:r>
        <w:rPr>
          <w:b/>
          <w:color w:val="000000"/>
        </w:rPr>
        <w:t>зграде</w:t>
      </w:r>
      <w:proofErr w:type="gramEnd"/>
      <w:r>
        <w:rPr>
          <w:b/>
          <w:color w:val="000000"/>
        </w:rPr>
        <w:t xml:space="preserve"> повећаног ризика у погледу евакуације у случају хитности (вртићи, школе, факултети, домови здравља, болнице, домови за стара лица, стационари и установе за лица с посебним потребама и с</w:t>
      </w:r>
      <w:r>
        <w:rPr>
          <w:b/>
          <w:color w:val="000000"/>
        </w:rPr>
        <w:t>л.) капацитета преко 500 лица;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(3) </w:t>
      </w:r>
      <w:proofErr w:type="gramStart"/>
      <w:r>
        <w:rPr>
          <w:b/>
          <w:color w:val="000000"/>
        </w:rPr>
        <w:t>зграде</w:t>
      </w:r>
      <w:proofErr w:type="gramEnd"/>
      <w:r>
        <w:rPr>
          <w:b/>
          <w:color w:val="000000"/>
        </w:rPr>
        <w:t xml:space="preserve"> јавне намене у којима се окупља више од 500 лица;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(4) </w:t>
      </w:r>
      <w:proofErr w:type="gramStart"/>
      <w:r>
        <w:rPr>
          <w:b/>
          <w:color w:val="000000"/>
        </w:rPr>
        <w:t>зграде</w:t>
      </w:r>
      <w:proofErr w:type="gramEnd"/>
      <w:r>
        <w:rPr>
          <w:b/>
          <w:color w:val="000000"/>
        </w:rPr>
        <w:t xml:space="preserve"> од посебног друштвеног и државног значаја дефинисане посебним прописом.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6/2019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6.</w:t>
      </w:r>
    </w:p>
    <w:p w:rsidR="008A41B5" w:rsidRDefault="00B610EF">
      <w:pPr>
        <w:spacing w:after="150"/>
      </w:pPr>
      <w:r>
        <w:rPr>
          <w:color w:val="000000"/>
        </w:rPr>
        <w:t xml:space="preserve">Ако се зграда према члану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</w:t>
      </w:r>
      <w:r>
        <w:rPr>
          <w:color w:val="000000"/>
        </w:rPr>
        <w:t>авилника може разврстати у више различитих категорија, разврставање се врши на бази строжијег критеријума.</w:t>
      </w:r>
    </w:p>
    <w:p w:rsidR="008A41B5" w:rsidRDefault="00B610EF">
      <w:pPr>
        <w:spacing w:after="150"/>
        <w:jc w:val="center"/>
      </w:pPr>
      <w:r>
        <w:rPr>
          <w:b/>
          <w:color w:val="000000"/>
        </w:rPr>
        <w:t>Члан 7.</w:t>
      </w:r>
      <w:r>
        <w:rPr>
          <w:b/>
          <w:color w:val="000000"/>
          <w:vertAlign w:val="superscript"/>
        </w:rPr>
        <w:t>1</w:t>
      </w:r>
    </w:p>
    <w:p w:rsidR="008A41B5" w:rsidRDefault="00B610EF">
      <w:pPr>
        <w:spacing w:after="150"/>
      </w:pPr>
      <w:r>
        <w:rPr>
          <w:b/>
          <w:color w:val="000000"/>
        </w:rPr>
        <w:t>У саставу спољног зида у погледу система или појединачних компонената система морају се применити грађевински производи најмање карактеристи</w:t>
      </w:r>
      <w:r>
        <w:rPr>
          <w:b/>
          <w:color w:val="000000"/>
        </w:rPr>
        <w:t xml:space="preserve">ке реакције на пожар према SRPS EN 13501-1 у складу са табелама 1, 2.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3.</w:t>
      </w:r>
      <w:r>
        <w:rPr>
          <w:b/>
          <w:color w:val="000000"/>
          <w:vertAlign w:val="superscript"/>
        </w:rPr>
        <w:t>1</w:t>
      </w:r>
    </w:p>
    <w:p w:rsidR="008A41B5" w:rsidRDefault="00B610EF">
      <w:pPr>
        <w:spacing w:after="150"/>
      </w:pPr>
      <w:r>
        <w:rPr>
          <w:b/>
          <w:color w:val="000000"/>
        </w:rPr>
        <w:lastRenderedPageBreak/>
        <w:t>Табела 1.</w:t>
      </w:r>
      <w:r>
        <w:rPr>
          <w:color w:val="000000"/>
        </w:rPr>
        <w:t xml:space="preserve"> </w:t>
      </w:r>
      <w:r>
        <w:rPr>
          <w:b/>
          <w:color w:val="000000"/>
        </w:rPr>
        <w:t>зидани (опека, блокови и сл.) или бетонски (ливени на лицу места или префабриковани) зидови, са топлотноизолационим слојем и спољним зиданим, бетонским и другим сличним с</w:t>
      </w:r>
      <w:r>
        <w:rPr>
          <w:b/>
          <w:color w:val="000000"/>
        </w:rPr>
        <w:t>лојем за заштиту од дејства атмосферилија, без вентилисаног ваздушног слоја – међупростора, чији је графички приказ одштампан у Прилогу 1, слика 1, као и самоносећи префабриковани фасадни панели.</w:t>
      </w:r>
      <w:r>
        <w:rPr>
          <w:b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06"/>
        <w:gridCol w:w="1240"/>
        <w:gridCol w:w="1216"/>
        <w:gridCol w:w="1216"/>
        <w:gridCol w:w="1263"/>
        <w:gridCol w:w="1287"/>
      </w:tblGrid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КАТЕГОРИЗАЦИЈА ЗГРАДЕ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Б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В1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В2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color w:val="000000"/>
              </w:rPr>
              <w:t>Г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 xml:space="preserve">Класа реакције на </w:t>
            </w:r>
            <w:r>
              <w:rPr>
                <w:b/>
                <w:color w:val="000000"/>
              </w:rPr>
              <w:t>пожар система</w:t>
            </w:r>
          </w:p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 xml:space="preserve">(спољни зид)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 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Класа реакције на пожар компонената</w:t>
            </w:r>
          </w:p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спољног зида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8A41B5"/>
        </w:tc>
      </w:tr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спољни слој/слојеви *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 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топлотноизолациони слој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</w:tbl>
    <w:p w:rsidR="008A41B5" w:rsidRDefault="00B610EF">
      <w:pPr>
        <w:spacing w:after="150"/>
      </w:pPr>
      <w:r>
        <w:rPr>
          <w:b/>
          <w:i/>
          <w:color w:val="000000"/>
        </w:rPr>
        <w:t>(*) Критеријум важи и за све слојеве самоносећег префабрикованог фасадног панела укључујући и његов топлотно-изолациони слој</w:t>
      </w:r>
      <w:r>
        <w:rPr>
          <w:b/>
          <w:i/>
          <w:color w:val="000000"/>
          <w:vertAlign w:val="superscript"/>
        </w:rPr>
        <w:t>1</w:t>
      </w:r>
    </w:p>
    <w:p w:rsidR="008A41B5" w:rsidRDefault="00B610EF">
      <w:pPr>
        <w:spacing w:after="150"/>
      </w:pPr>
      <w:r>
        <w:rPr>
          <w:b/>
          <w:color w:val="000000"/>
        </w:rPr>
        <w:t>Табела 2.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зидани</w:t>
      </w:r>
      <w:proofErr w:type="gramEnd"/>
      <w:r>
        <w:rPr>
          <w:b/>
          <w:color w:val="000000"/>
        </w:rPr>
        <w:t xml:space="preserve"> (опека, блокови и сл.) или бетонски (ливени на лицу места или префабриковани) зидови са топлот</w:t>
      </w:r>
      <w:r>
        <w:rPr>
          <w:b/>
          <w:color w:val="000000"/>
        </w:rPr>
        <w:t>но-изолационим слојем и спољним зиданим, бетонским или било којим другим слојем за заштиту од дејства атмосферилија, са укљученим вентилисаним ваздушним слојем/међупростором (вентилисани спољни зид), чији је графички приказ одштампан у Прилогу 1, слика 2.</w:t>
      </w:r>
      <w:r>
        <w:rPr>
          <w:b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07"/>
        <w:gridCol w:w="1236"/>
        <w:gridCol w:w="1211"/>
        <w:gridCol w:w="1258"/>
        <w:gridCol w:w="1258"/>
        <w:gridCol w:w="1258"/>
      </w:tblGrid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КАТЕГОРИЗАЦИЈА ЗГРАДЕ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Б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В1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В2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color w:val="000000"/>
              </w:rPr>
              <w:t>Г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Класа реакције на пожар система</w:t>
            </w:r>
          </w:p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(спољни зид)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 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Класа реакције на пожар компонената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8A41B5"/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Спољни слој/слојеви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Потконструкција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8A41B5"/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lastRenderedPageBreak/>
              <w:t>– линијски елемент везе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А2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– тачкасти елемент везе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А2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А2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А2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А2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А2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топлотноизолациони слој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</w:tbl>
    <w:p w:rsidR="008A41B5" w:rsidRDefault="00B610EF">
      <w:pPr>
        <w:spacing w:after="150"/>
      </w:pPr>
      <w:r>
        <w:rPr>
          <w:b/>
          <w:color w:val="000000"/>
        </w:rPr>
        <w:t>Табела 3.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зидани</w:t>
      </w:r>
      <w:proofErr w:type="gramEnd"/>
      <w:r>
        <w:rPr>
          <w:b/>
          <w:color w:val="000000"/>
        </w:rPr>
        <w:t xml:space="preserve"> (опека, блокови и сл.) или бетонски (ливени на лицу места</w:t>
      </w:r>
      <w:r>
        <w:rPr>
          <w:b/>
          <w:color w:val="000000"/>
        </w:rPr>
        <w:t xml:space="preserve"> или префабриковани) зидови са контактним топлотно – изолационим системом (ETICS), чији је графички приказ одштампан у Прилогу 1, слика 3.</w:t>
      </w:r>
      <w:r>
        <w:rPr>
          <w:b/>
          <w:color w:val="000000"/>
          <w:vertAlign w:val="superscript"/>
        </w:rPr>
        <w:t>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07"/>
        <w:gridCol w:w="1220"/>
        <w:gridCol w:w="1220"/>
        <w:gridCol w:w="1220"/>
        <w:gridCol w:w="1292"/>
        <w:gridCol w:w="1269"/>
      </w:tblGrid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КАТЕГОРИЗАЦИЈА ЗГРАДЕ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color w:val="000000"/>
              </w:rPr>
              <w:t>А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color w:val="000000"/>
              </w:rPr>
              <w:t>Б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В1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В2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color w:val="000000"/>
              </w:rPr>
              <w:t>Г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Класа реакције на пожар система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D-s2,d2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Класа реакције на пожар компонената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8A41B5"/>
        </w:tc>
      </w:tr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завршни слој/слојеви *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C-s2,d1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B-s1,d1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  <w:tr w:rsidR="008A41B5">
        <w:trPr>
          <w:trHeight w:val="45"/>
          <w:tblCellSpacing w:w="0" w:type="auto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топлотноизолациони слој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E-s2,d2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B-s2,d1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 xml:space="preserve">A2-s1,d1 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41B5" w:rsidRDefault="00B610EF">
            <w:pPr>
              <w:spacing w:after="150"/>
            </w:pPr>
            <w:r>
              <w:rPr>
                <w:b/>
                <w:color w:val="000000"/>
              </w:rPr>
              <w:t>A2-s1,d0</w:t>
            </w:r>
            <w:r>
              <w:rPr>
                <w:b/>
                <w:color w:val="000000"/>
                <w:vertAlign w:val="superscript"/>
              </w:rPr>
              <w:t>1</w:t>
            </w:r>
          </w:p>
        </w:tc>
      </w:tr>
    </w:tbl>
    <w:p w:rsidR="008A41B5" w:rsidRDefault="00B610EF">
      <w:pPr>
        <w:spacing w:after="150"/>
      </w:pPr>
      <w:r>
        <w:rPr>
          <w:b/>
          <w:i/>
          <w:color w:val="000000"/>
        </w:rPr>
        <w:t>*</w:t>
      </w:r>
      <w:r>
        <w:rPr>
          <w:i/>
          <w:color w:val="000000"/>
        </w:rPr>
        <w:t xml:space="preserve"> </w:t>
      </w:r>
      <w:r>
        <w:rPr>
          <w:b/>
          <w:i/>
          <w:color w:val="000000"/>
        </w:rPr>
        <w:t xml:space="preserve">У случају када се компонента састоји из више завршних </w:t>
      </w:r>
      <w:r>
        <w:rPr>
          <w:b/>
          <w:i/>
          <w:color w:val="000000"/>
        </w:rPr>
        <w:t>слојева, сваки појединачни завршни слој, који представља битан саставни део мора испуњавати захтеве из табеле. Ако је преко топлотно изолационог слоја изведен слој од материјала класе А1 у дебљини већој од 2 cm, тада се класа реакције на пожар топлотно-изо</w:t>
      </w:r>
      <w:r>
        <w:rPr>
          <w:b/>
          <w:i/>
          <w:color w:val="000000"/>
        </w:rPr>
        <w:t>лационог слоја може одредити на основу захтева из табеле који се односе на прву нижу категорију зграде</w:t>
      </w:r>
      <w:r>
        <w:rPr>
          <w:i/>
          <w:color w:val="000000"/>
        </w:rPr>
        <w:t>.</w:t>
      </w:r>
      <w:r>
        <w:rPr>
          <w:b/>
          <w:i/>
          <w:color w:val="000000"/>
          <w:vertAlign w:val="superscript"/>
        </w:rPr>
        <w:t>1</w:t>
      </w:r>
    </w:p>
    <w:p w:rsidR="008A41B5" w:rsidRDefault="00B610EF">
      <w:pPr>
        <w:spacing w:after="150"/>
      </w:pPr>
      <w:r>
        <w:rPr>
          <w:color w:val="000000"/>
          <w:vertAlign w:val="superscript"/>
        </w:rPr>
        <w:t>1</w:t>
      </w:r>
      <w:r>
        <w:rPr>
          <w:color w:val="000000"/>
        </w:rPr>
        <w:t>Службени гласник РС, број 6/2019</w:t>
      </w:r>
    </w:p>
    <w:p w:rsidR="008A41B5" w:rsidRDefault="00B610EF">
      <w:pPr>
        <w:spacing w:after="150"/>
        <w:jc w:val="center"/>
      </w:pPr>
      <w:r>
        <w:rPr>
          <w:b/>
          <w:color w:val="000000"/>
        </w:rPr>
        <w:t>Члан 7б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Естетски слојеви не могу се постављати: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1)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странама објекта са којих је због специфичне позиције зграда,</w:t>
      </w:r>
      <w:r>
        <w:rPr>
          <w:b/>
          <w:color w:val="000000"/>
        </w:rPr>
        <w:t xml:space="preserve"> према прорачуну из члана 8. </w:t>
      </w:r>
      <w:proofErr w:type="gramStart"/>
      <w:r>
        <w:rPr>
          <w:b/>
          <w:color w:val="000000"/>
        </w:rPr>
        <w:t>став</w:t>
      </w:r>
      <w:proofErr w:type="gramEnd"/>
      <w:r>
        <w:rPr>
          <w:b/>
          <w:color w:val="000000"/>
        </w:rPr>
        <w:t xml:space="preserve"> 2.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правилника, могућ пренос пожара на друге објекте,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2) </w:t>
      </w:r>
      <w:proofErr w:type="gramStart"/>
      <w:r>
        <w:rPr>
          <w:b/>
          <w:color w:val="000000"/>
        </w:rPr>
        <w:t>преко</w:t>
      </w:r>
      <w:proofErr w:type="gramEnd"/>
      <w:r>
        <w:rPr>
          <w:b/>
          <w:color w:val="000000"/>
        </w:rPr>
        <w:t xml:space="preserve"> површине која се сматра хоризонталним и вертикалним појасевима из члана 9, 11.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13.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правилника, сем ако испуњавају услове из члана 9. </w:t>
      </w:r>
      <w:proofErr w:type="gramStart"/>
      <w:r>
        <w:rPr>
          <w:b/>
          <w:color w:val="000000"/>
        </w:rPr>
        <w:t>став</w:t>
      </w:r>
      <w:proofErr w:type="gramEnd"/>
      <w:r>
        <w:rPr>
          <w:b/>
          <w:color w:val="000000"/>
        </w:rPr>
        <w:t xml:space="preserve"> 2.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члан</w:t>
      </w:r>
      <w:r>
        <w:rPr>
          <w:b/>
          <w:color w:val="000000"/>
        </w:rPr>
        <w:t xml:space="preserve">а 12.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правилника.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36/2017</w:t>
      </w:r>
    </w:p>
    <w:p w:rsidR="008A41B5" w:rsidRDefault="00B610EF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8A41B5" w:rsidRDefault="00B610EF">
      <w:pPr>
        <w:spacing w:after="150"/>
      </w:pPr>
      <w:r>
        <w:rPr>
          <w:color w:val="000000"/>
        </w:rPr>
        <w:t xml:space="preserve">Ако се за један систем или компоненту система могу применити различите класе реакције на пожар из Табела 1, 2.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3. </w:t>
      </w:r>
      <w:proofErr w:type="gramStart"/>
      <w:r>
        <w:rPr>
          <w:color w:val="000000"/>
        </w:rPr>
        <w:t>избор</w:t>
      </w:r>
      <w:proofErr w:type="gramEnd"/>
      <w:r>
        <w:rPr>
          <w:color w:val="000000"/>
        </w:rPr>
        <w:t xml:space="preserve"> се врши на бази строжијег критеријума.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Код специфичне позиције </w:t>
      </w:r>
      <w:r>
        <w:rPr>
          <w:b/>
          <w:color w:val="000000"/>
        </w:rPr>
        <w:t>суседних објеката, мора се прорачуном према признатим методама потврдити да материјали уграђени у спољне зидове зграда, изабрани у погледу класе реакције на пожар система или компонената система у складу са одредбама овог правилника, приликом горења неће п</w:t>
      </w:r>
      <w:r>
        <w:rPr>
          <w:b/>
          <w:color w:val="000000"/>
        </w:rPr>
        <w:t>роузроковати или допринети преносу пожара са једног објекта на други.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Када се прорачуном из става 2.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 не потврди да су грађевински материјали, који су изабрани на начин утврђен овим правилником прихватљиви у погледу реакције на пожар, тада се за</w:t>
      </w:r>
      <w:r>
        <w:rPr>
          <w:b/>
          <w:color w:val="000000"/>
        </w:rPr>
        <w:t xml:space="preserve"> објекат морају изабрати материјали разврстани у прву следећу вишу класу реакције на пожар у складу са Табелама 1, 2. </w:t>
      </w:r>
      <w:proofErr w:type="gramStart"/>
      <w:r>
        <w:rPr>
          <w:b/>
          <w:color w:val="000000"/>
        </w:rPr>
        <w:t>и</w:t>
      </w:r>
      <w:proofErr w:type="gramEnd"/>
      <w:r>
        <w:rPr>
          <w:b/>
          <w:color w:val="000000"/>
        </w:rPr>
        <w:t xml:space="preserve"> 3.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36/2017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9.</w:t>
      </w:r>
    </w:p>
    <w:p w:rsidR="008A41B5" w:rsidRDefault="00B610EF">
      <w:pPr>
        <w:spacing w:after="150"/>
      </w:pPr>
      <w:r>
        <w:rPr>
          <w:color w:val="000000"/>
        </w:rPr>
        <w:t>Ако систем или компоненте система спољних зидова са контактним топлотно-изолационим систе</w:t>
      </w:r>
      <w:r>
        <w:rPr>
          <w:color w:val="000000"/>
        </w:rPr>
        <w:t>мом (ETICS), Табела 3, нису у целини од негоривог материјала, морају се предвидети хоризонтални и вертикални појасеви на границама пожарних сегмената и пожарних сектора, чија дебљина не може бити мања од дебљине термоизолационог материјала, на начин приказ</w:t>
      </w:r>
      <w:r>
        <w:rPr>
          <w:color w:val="000000"/>
        </w:rPr>
        <w:t xml:space="preserve">ан на слици 1.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Прилогу 2. </w:t>
      </w:r>
      <w:proofErr w:type="gramStart"/>
      <w:r>
        <w:rPr>
          <w:color w:val="000000"/>
        </w:rPr>
        <w:t>који</w:t>
      </w:r>
      <w:proofErr w:type="gramEnd"/>
      <w:r>
        <w:rPr>
          <w:color w:val="000000"/>
        </w:rPr>
        <w:t xml:space="preserve"> је одштампан уз овај правилник и чини његов саставни део.</w:t>
      </w:r>
    </w:p>
    <w:p w:rsidR="008A41B5" w:rsidRDefault="00B610EF">
      <w:pPr>
        <w:spacing w:after="150"/>
      </w:pPr>
      <w:r>
        <w:rPr>
          <w:color w:val="000000"/>
        </w:rPr>
        <w:t xml:space="preserve">Материјали од којих се изводе појасеви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морају имати коефицијент провођења топлоте мањи него бетон с аморфним агрегатом карактеристике λ = 1.3 </w:t>
      </w:r>
      <w:r>
        <w:rPr>
          <w:color w:val="000000"/>
        </w:rPr>
        <w:t xml:space="preserve">W/mK (ту спадају и плоче од пресоване минералне вуне, гипс плоче, ћелијасти и лаки бетони, глинене и силикатне опеке итд.) и морају бити класе реакције на пожар према SRPS EN 13501-1 </w:t>
      </w:r>
      <w:r>
        <w:rPr>
          <w:b/>
          <w:color w:val="000000"/>
        </w:rPr>
        <w:t>најмање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:</w:t>
      </w:r>
    </w:p>
    <w:p w:rsidR="008A41B5" w:rsidRDefault="00B610EF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класе</w:t>
      </w:r>
      <w:proofErr w:type="gramEnd"/>
      <w:r>
        <w:rPr>
          <w:color w:val="000000"/>
        </w:rPr>
        <w:t xml:space="preserve"> А1 на границама пожарних сегмената;</w:t>
      </w:r>
    </w:p>
    <w:p w:rsidR="008A41B5" w:rsidRDefault="00B610EF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класе</w:t>
      </w:r>
      <w:proofErr w:type="gramEnd"/>
      <w:r>
        <w:rPr>
          <w:color w:val="000000"/>
        </w:rPr>
        <w:t xml:space="preserve"> 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 А2 на </w:t>
      </w:r>
      <w:r>
        <w:rPr>
          <w:color w:val="000000"/>
        </w:rPr>
        <w:t>границама пожарних сектора.</w:t>
      </w:r>
    </w:p>
    <w:p w:rsidR="008A41B5" w:rsidRDefault="00B610EF">
      <w:pPr>
        <w:spacing w:after="150"/>
      </w:pPr>
      <w:r>
        <w:rPr>
          <w:color w:val="000000"/>
        </w:rPr>
        <w:t xml:space="preserve">Материјали из става 2.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морају бити причвршћени негоривим анкерима.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6/2019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10.</w:t>
      </w:r>
    </w:p>
    <w:p w:rsidR="008A41B5" w:rsidRDefault="00B610EF">
      <w:pPr>
        <w:spacing w:after="150"/>
      </w:pPr>
      <w:r>
        <w:rPr>
          <w:color w:val="000000"/>
        </w:rPr>
        <w:t>Висина хоризонталног појаса (h</w:t>
      </w:r>
      <w:r>
        <w:rPr>
          <w:color w:val="000000"/>
          <w:vertAlign w:val="subscript"/>
        </w:rPr>
        <w:t>p</w:t>
      </w:r>
      <w:r>
        <w:rPr>
          <w:color w:val="000000"/>
        </w:rPr>
        <w:t>) не може бити мања од 1 m, а ширина вертикалног појаса (w</w:t>
      </w:r>
      <w:r>
        <w:rPr>
          <w:color w:val="000000"/>
          <w:vertAlign w:val="subscript"/>
        </w:rPr>
        <w:t>p</w:t>
      </w:r>
      <w:r>
        <w:rPr>
          <w:color w:val="000000"/>
        </w:rPr>
        <w:t xml:space="preserve">) не мања од 1 m </w:t>
      </w:r>
      <w:r>
        <w:rPr>
          <w:color w:val="000000"/>
        </w:rPr>
        <w:t>на граници пожарних сегмената и сектора, при чему увек мора бити испуњен услов да је h&gt;h</w:t>
      </w:r>
      <w:r>
        <w:rPr>
          <w:color w:val="000000"/>
          <w:vertAlign w:val="subscript"/>
        </w:rPr>
        <w:t>p</w:t>
      </w:r>
      <w:r>
        <w:rPr>
          <w:color w:val="000000"/>
        </w:rPr>
        <w:t>, односно w&gt;w</w:t>
      </w:r>
      <w:r>
        <w:rPr>
          <w:color w:val="000000"/>
          <w:vertAlign w:val="subscript"/>
        </w:rPr>
        <w:t>p</w:t>
      </w:r>
      <w:r>
        <w:rPr>
          <w:color w:val="000000"/>
        </w:rPr>
        <w:t xml:space="preserve"> као што је приказано на слици 2.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Прилогу 2.</w:t>
      </w:r>
    </w:p>
    <w:p w:rsidR="008A41B5" w:rsidRDefault="00B610EF">
      <w:pPr>
        <w:spacing w:after="150"/>
      </w:pPr>
      <w:r>
        <w:rPr>
          <w:color w:val="000000"/>
        </w:rPr>
        <w:lastRenderedPageBreak/>
        <w:t xml:space="preserve">Изузетно висина, односно ширина, појаса из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може се смањити извођењем конзоле, симса, о</w:t>
      </w:r>
      <w:r>
        <w:rPr>
          <w:color w:val="000000"/>
        </w:rPr>
        <w:t xml:space="preserve">дносно ребра чија је димензија p &gt; 0,5 m на начин приказан на слици 3.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Прилогу 2.</w:t>
      </w:r>
    </w:p>
    <w:p w:rsidR="008A41B5" w:rsidRDefault="00B610EF">
      <w:pPr>
        <w:spacing w:after="150"/>
        <w:jc w:val="center"/>
      </w:pPr>
      <w:r>
        <w:rPr>
          <w:b/>
          <w:color w:val="000000"/>
        </w:rPr>
        <w:t>Члан 10а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Вентилисани спољни зидови морају бити изведени тако да се у случају пожара спречи пренос пожара кроз вентилисани ваздушни слој, а у свему према упутству произвођа</w:t>
      </w:r>
      <w:r>
        <w:rPr>
          <w:b/>
          <w:color w:val="000000"/>
        </w:rPr>
        <w:t>ча.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Контактни топлотно-изолациони системи (ETICS) морају бити изведени тако да се у случају пожара спречи отпадање делова топлотно изолационог система.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36/2017</w:t>
      </w:r>
    </w:p>
    <w:p w:rsidR="008A41B5" w:rsidRDefault="00B610EF">
      <w:pPr>
        <w:spacing w:after="150"/>
        <w:jc w:val="center"/>
      </w:pPr>
      <w:r>
        <w:rPr>
          <w:b/>
          <w:color w:val="000000"/>
        </w:rPr>
        <w:t>Члан 11.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Ако је стреха или кровни покривач изведен од горивих мате</w:t>
      </w:r>
      <w:r>
        <w:rPr>
          <w:b/>
          <w:color w:val="000000"/>
        </w:rPr>
        <w:t>ријала изложених преносу пожара, изнад отвора највиших спратних етажа мора се уградити негориви хоризонтални појас висине најмање 1,0 m, од материјала класе реакције на пожар А1 према SRPS EN 13501-1.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 xml:space="preserve">Изузетно од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члана, ако је стреха или кро</w:t>
      </w:r>
      <w:r>
        <w:rPr>
          <w:b/>
          <w:color w:val="000000"/>
        </w:rPr>
        <w:t xml:space="preserve">вни покривач изведен од горивих материјала и обложен негоривим материјалом класе реакције на пожар А1 према SRPS EN 13501-1, сматра се да стреха и кров нису изложени преносу пожара и не примењује се одредба става 1. </w:t>
      </w:r>
      <w:proofErr w:type="gramStart"/>
      <w:r>
        <w:rPr>
          <w:b/>
          <w:color w:val="000000"/>
        </w:rPr>
        <w:t>овог</w:t>
      </w:r>
      <w:proofErr w:type="gramEnd"/>
      <w:r>
        <w:rPr>
          <w:b/>
          <w:color w:val="000000"/>
        </w:rPr>
        <w:t xml:space="preserve"> члана.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Негориви хоризонтални појас</w:t>
      </w:r>
      <w:r>
        <w:rPr>
          <w:b/>
          <w:color w:val="000000"/>
        </w:rPr>
        <w:t>, од материјала класе реакције на пожар А1 према SRPS EN 13501-1, мора се уградити најмање 0,5 m са леве и десне стране отвора највиших спратних етажа, мерено од крајњих ивица.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 број 36/2017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12.</w:t>
      </w:r>
    </w:p>
    <w:p w:rsidR="008A41B5" w:rsidRDefault="00B610EF">
      <w:pPr>
        <w:spacing w:after="150"/>
      </w:pPr>
      <w:r>
        <w:rPr>
          <w:color w:val="000000"/>
        </w:rPr>
        <w:t>Спољашњи завршни слој, који покрив</w:t>
      </w:r>
      <w:r>
        <w:rPr>
          <w:color w:val="000000"/>
        </w:rPr>
        <w:t xml:space="preserve">а појасеве из чл. 9.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а ради уједначавања изгледа спољног зида и других захтева, изводи се од негоривих материјала: посебних лаких малтера за ту намену, украсних камених плоча, стакла итд.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13.</w:t>
      </w:r>
    </w:p>
    <w:p w:rsidR="008A41B5" w:rsidRDefault="00B610EF">
      <w:pPr>
        <w:spacing w:after="150"/>
      </w:pPr>
      <w:r>
        <w:rPr>
          <w:color w:val="000000"/>
        </w:rPr>
        <w:t>Ако се на постојеће објекте уграђује</w:t>
      </w:r>
      <w:r>
        <w:rPr>
          <w:color w:val="000000"/>
        </w:rPr>
        <w:t xml:space="preserve"> топлотно-изолациони систем (ETICS) или компоненте система који није у целини од негоривог материјала, тада се у нивоу сваке међуспратне конструкције мора уградити негориви хоризонтални појас висине најмање 1m изведен од материјала класе реакције на пожар </w:t>
      </w:r>
      <w:r>
        <w:rPr>
          <w:color w:val="000000"/>
        </w:rPr>
        <w:t xml:space="preserve">А1 према SRPS EN 13501-1, или се морају применити </w:t>
      </w:r>
      <w:r>
        <w:rPr>
          <w:color w:val="000000"/>
        </w:rPr>
        <w:lastRenderedPageBreak/>
        <w:t xml:space="preserve">захтеви за систем односно компоненте система који се односе на прву вишу категорију зграде из Табеле 3.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правилника.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14.</w:t>
      </w:r>
    </w:p>
    <w:p w:rsidR="008A41B5" w:rsidRDefault="00B610EF">
      <w:pPr>
        <w:spacing w:after="150"/>
      </w:pPr>
      <w:r>
        <w:rPr>
          <w:color w:val="000000"/>
        </w:rPr>
        <w:t>Испуњеност захтева за системе и компоненте система који су предмет овог прав</w:t>
      </w:r>
      <w:r>
        <w:rPr>
          <w:color w:val="000000"/>
        </w:rPr>
        <w:t>илника по завршетку радова утврђује се на основу исправа о усаглашености које су уређене у складу са посебним прописима.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15.</w:t>
      </w:r>
    </w:p>
    <w:p w:rsidR="008A41B5" w:rsidRDefault="00B610EF">
      <w:pPr>
        <w:spacing w:after="150"/>
      </w:pPr>
      <w:r>
        <w:rPr>
          <w:color w:val="000000"/>
        </w:rPr>
        <w:t>Када су захтеви за системе и компоненте система који су предмет уређивања овим правилником, уређени и другим прописима тада се</w:t>
      </w:r>
      <w:r>
        <w:rPr>
          <w:color w:val="000000"/>
        </w:rPr>
        <w:t xml:space="preserve"> примењују одредбе прописа у ком су утврђени строжији захтеви.</w:t>
      </w:r>
    </w:p>
    <w:p w:rsidR="008A41B5" w:rsidRDefault="00B610EF">
      <w:pPr>
        <w:spacing w:after="150"/>
      </w:pPr>
      <w:r>
        <w:rPr>
          <w:color w:val="000000"/>
        </w:rPr>
        <w:t xml:space="preserve">Изузетно од става 1.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у погледу система и компоненти система за слободностојећа складишта и хладњаче из члана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који су изведени од самоносећих префабрикованих фасад</w:t>
      </w:r>
      <w:r>
        <w:rPr>
          <w:color w:val="000000"/>
        </w:rPr>
        <w:t xml:space="preserve">них панела, удаљене најмање 10 m од других зграда из члана 5.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правилника, примењују се одредбе овог правилника.</w:t>
      </w:r>
    </w:p>
    <w:p w:rsidR="008A41B5" w:rsidRDefault="00B610EF">
      <w:pPr>
        <w:spacing w:after="150"/>
        <w:jc w:val="center"/>
      </w:pPr>
      <w:r>
        <w:rPr>
          <w:b/>
          <w:color w:val="000000"/>
        </w:rPr>
        <w:t>Члан 15а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b/>
          <w:color w:val="000000"/>
        </w:rPr>
        <w:t>Приликом реконструкције, доградње, адаптације, употребе и одржавања зграда, као и приликом извођења радова на спољном зиду ради у</w:t>
      </w:r>
      <w:r>
        <w:rPr>
          <w:b/>
          <w:color w:val="000000"/>
        </w:rPr>
        <w:t>напређења енергетске ефикасности зграда, примењују се одредбе овог правилника на целу зграду односно део зграде у зависности од врсте, обима и степена сложености извођења радова, при чему се не сме умањити пожарна безбедност објекта.</w:t>
      </w:r>
      <w:r>
        <w:rPr>
          <w:rFonts w:ascii="Calibri"/>
          <w:b/>
          <w:color w:val="000000"/>
          <w:vertAlign w:val="superscript"/>
        </w:rPr>
        <w:t>*</w:t>
      </w:r>
    </w:p>
    <w:p w:rsidR="008A41B5" w:rsidRDefault="00B610EF">
      <w:pPr>
        <w:spacing w:after="150"/>
      </w:pPr>
      <w:r>
        <w:rPr>
          <w:color w:val="000000"/>
        </w:rPr>
        <w:t>*Службени гласник РС,</w:t>
      </w:r>
      <w:r>
        <w:rPr>
          <w:color w:val="000000"/>
        </w:rPr>
        <w:t xml:space="preserve"> број 6/2019</w:t>
      </w:r>
    </w:p>
    <w:p w:rsidR="008A41B5" w:rsidRDefault="00B610EF">
      <w:pPr>
        <w:spacing w:after="120"/>
        <w:jc w:val="center"/>
      </w:pPr>
      <w:r>
        <w:rPr>
          <w:color w:val="000000"/>
        </w:rPr>
        <w:t>Члан 16.</w:t>
      </w:r>
    </w:p>
    <w:p w:rsidR="008A41B5" w:rsidRDefault="00B610EF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</w:p>
    <w:p w:rsidR="008A41B5" w:rsidRDefault="00B610EF">
      <w:pPr>
        <w:spacing w:after="150"/>
        <w:jc w:val="right"/>
      </w:pPr>
      <w:r>
        <w:rPr>
          <w:color w:val="000000"/>
        </w:rPr>
        <w:t>Број 01 12616/15-11</w:t>
      </w:r>
    </w:p>
    <w:p w:rsidR="008A41B5" w:rsidRDefault="00B610EF">
      <w:pPr>
        <w:spacing w:after="150"/>
        <w:jc w:val="right"/>
      </w:pPr>
      <w:r>
        <w:rPr>
          <w:color w:val="000000"/>
        </w:rPr>
        <w:t xml:space="preserve">У Београду, 21.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2016. </w:t>
      </w:r>
      <w:proofErr w:type="gramStart"/>
      <w:r>
        <w:rPr>
          <w:color w:val="000000"/>
        </w:rPr>
        <w:t>године</w:t>
      </w:r>
      <w:proofErr w:type="gramEnd"/>
    </w:p>
    <w:p w:rsidR="008A41B5" w:rsidRDefault="00B610EF">
      <w:pPr>
        <w:spacing w:after="150"/>
        <w:jc w:val="right"/>
      </w:pPr>
      <w:r>
        <w:rPr>
          <w:color w:val="000000"/>
        </w:rPr>
        <w:t>Министар,</w:t>
      </w:r>
    </w:p>
    <w:p w:rsidR="008A41B5" w:rsidRDefault="00B610EF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Небојша Стефановић,</w:t>
      </w:r>
      <w:r>
        <w:rPr>
          <w:color w:val="000000"/>
        </w:rPr>
        <w:t xml:space="preserve"> с.р.</w:t>
      </w:r>
    </w:p>
    <w:p w:rsidR="008A41B5" w:rsidRDefault="00B610EF">
      <w:pPr>
        <w:spacing w:after="150"/>
        <w:jc w:val="right"/>
      </w:pPr>
      <w:r>
        <w:rPr>
          <w:color w:val="000000"/>
        </w:rPr>
        <w:t> </w:t>
      </w:r>
    </w:p>
    <w:p w:rsidR="008A41B5" w:rsidRDefault="00B610EF">
      <w:pPr>
        <w:spacing w:after="120"/>
        <w:jc w:val="right"/>
      </w:pPr>
      <w:r>
        <w:rPr>
          <w:color w:val="000000"/>
        </w:rPr>
        <w:t>Прилози</w:t>
      </w:r>
    </w:p>
    <w:p w:rsidR="008A41B5" w:rsidRDefault="00B610EF">
      <w:pPr>
        <w:spacing w:after="150"/>
      </w:pPr>
      <w:r>
        <w:rPr>
          <w:i/>
          <w:color w:val="000000"/>
        </w:rPr>
        <w:t>НАПОМЕНА ИЗДАВАЧА: Правилником</w:t>
      </w:r>
      <w:r>
        <w:rPr>
          <w:i/>
          <w:color w:val="000000"/>
        </w:rPr>
        <w:t xml:space="preserve"> о изменама и допунама Правилника о техничким захтевима безбедности од пожара спољних зидова зграда („Службени гласник РС”, број 36/2017) Прилог 1. </w:t>
      </w:r>
      <w:proofErr w:type="gramStart"/>
      <w:r>
        <w:rPr>
          <w:i/>
          <w:color w:val="000000"/>
        </w:rPr>
        <w:t>замењен</w:t>
      </w:r>
      <w:proofErr w:type="gramEnd"/>
      <w:r>
        <w:rPr>
          <w:i/>
          <w:color w:val="000000"/>
        </w:rPr>
        <w:t xml:space="preserve"> је новим прилогом (види члан 10. Правилника - 36/2017-18)</w:t>
      </w:r>
    </w:p>
    <w:p w:rsidR="008A41B5" w:rsidRDefault="00B610EF">
      <w:pPr>
        <w:spacing w:after="150"/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732145" cy="7889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88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B5" w:rsidRDefault="00B610EF">
      <w:pPr>
        <w:spacing w:after="150"/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549900" cy="774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B5" w:rsidRDefault="00B610EF">
      <w:pPr>
        <w:spacing w:after="150"/>
        <w:jc w:val="center"/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257800" cy="746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B5" w:rsidRDefault="00B610EF">
      <w:pPr>
        <w:spacing w:after="150"/>
        <w:jc w:val="center"/>
      </w:pPr>
      <w:r>
        <w:rPr>
          <w:color w:val="000000"/>
        </w:rPr>
        <w:t> </w:t>
      </w:r>
    </w:p>
    <w:sectPr w:rsidR="008A41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B5"/>
    <w:rsid w:val="008A41B5"/>
    <w:rsid w:val="00B6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FED2F-2B6C-4BC6-9F96-039D678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Ivana Vukovic</cp:lastModifiedBy>
  <cp:revision>2</cp:revision>
  <dcterms:created xsi:type="dcterms:W3CDTF">2022-10-11T08:33:00Z</dcterms:created>
  <dcterms:modified xsi:type="dcterms:W3CDTF">2022-10-11T08:33:00Z</dcterms:modified>
</cp:coreProperties>
</file>