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4"/>
      </w:tblGrid>
      <w:tr w:rsidR="00DF201E" w:rsidRPr="00D2541D" w:rsidTr="00DF20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A2E" w:rsidRPr="00D2541D" w:rsidRDefault="00E9247F" w:rsidP="00D2541D">
            <w:pPr>
              <w:spacing w:before="100" w:beforeAutospacing="1" w:after="100" w:afterAutospacing="1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PRAVILNIK</w:t>
            </w:r>
            <w:r w:rsidR="00DF201E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  <w:p w:rsidR="00D2541D" w:rsidRPr="00D2541D" w:rsidRDefault="00E9247F" w:rsidP="00D2541D">
            <w:pPr>
              <w:spacing w:before="100" w:beforeAutospacing="1" w:after="100" w:afterAutospacing="1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o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načinu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vršenja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graničnih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provera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i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načinu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izdavanja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izgledu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i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sadržaju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akata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koje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policijski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službenici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sačinjavaju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prilikom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obavljanja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poslova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graničnih</w:t>
            </w:r>
            <w:r w:rsidR="00D2541D" w:rsidRPr="00D2541D"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pacing w:val="0"/>
                <w:sz w:val="22"/>
                <w:szCs w:val="22"/>
                <w:lang w:eastAsia="en-US"/>
              </w:rPr>
              <w:t>provera</w:t>
            </w:r>
          </w:p>
          <w:p w:rsidR="00DF201E" w:rsidRPr="00D2541D" w:rsidRDefault="00DF201E" w:rsidP="00D2541D">
            <w:pPr>
              <w:spacing w:before="100" w:beforeAutospacing="1" w:after="100" w:afterAutospacing="1"/>
              <w:jc w:val="center"/>
              <w:outlineLvl w:val="5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"</w:t>
            </w:r>
            <w:r w:rsidR="00E9247F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Sl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. </w:t>
            </w:r>
            <w:r w:rsidR="00E9247F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glasnik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="00E9247F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RS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", </w:t>
            </w:r>
            <w:r w:rsidR="00E9247F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br</w:t>
            </w:r>
            <w:r w:rsid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. 104/2018</w:t>
            </w:r>
          </w:p>
        </w:tc>
      </w:tr>
    </w:tbl>
    <w:p w:rsidR="00D2541D" w:rsidRDefault="00D2541D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" w:name="str_1"/>
      <w:bookmarkEnd w:id="1"/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Predmet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Pravilnika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" w:name="clan_1"/>
      <w:bookmarkEnd w:id="2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pravilnikom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izgled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sadržaj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akata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sačinjavaju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" w:name="str_2"/>
      <w:bookmarkEnd w:id="3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Svrha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" w:name="clan_2"/>
      <w:bookmarkEnd w:id="4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svrhu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utvrđivanja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ispunjavaju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uključujući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5" w:name="str_3"/>
      <w:bookmarkEnd w:id="5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6" w:name="clan_3"/>
      <w:bookmarkEnd w:id="6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pristupanju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efikasnijeg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prevoznog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pogodnom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carinske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inspekcijske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carinske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inspekcijske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vazduhoplovima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plovilima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 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35.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2.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66.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7" w:name="str_4"/>
      <w:bookmarkEnd w:id="7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8" w:name="clan_4"/>
      <w:bookmarkEnd w:id="8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4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Prva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kome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gde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iziskuje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duži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vremenski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period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posumnja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verodostojnost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navoda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zakonito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pribaviti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okolnosti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vezanih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svrhu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putovanja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važenje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ispravnost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propisane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stranac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prekoračio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psihoaktivne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kontrolisane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supstance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eksplozivna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predmeti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materije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zabranjeno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režimom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skriveni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potražuju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potražuju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predmet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krivičnog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dela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prekršaja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njegovo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nosi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sobom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ugroziti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javni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poredak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javno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zdravlje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okolnosti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ukazuju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krivičnog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dela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prekršaja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9" w:name="clan_5"/>
      <w:bookmarkEnd w:id="9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5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odlaganja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obaveštava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odrediće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preduzeti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dolaskom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preuzima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propisane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opremu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pomagala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alat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pribor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evidencije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instrukcijama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donetim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0" w:name="str_5"/>
      <w:bookmarkEnd w:id="10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1" w:name="clan_6"/>
      <w:bookmarkEnd w:id="11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6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ugovorima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drugačije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efikasna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uvidom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propisanu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daljem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tekstu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identiteta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utvrđivanja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legitimisalo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tuđom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važeća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oštećena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nepodobna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putnoj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znaci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falsifikovanja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otisnuti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ulasku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izlasku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oznake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značaja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prelaženje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došlo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promene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opisa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fotografiju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smatra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nepodobnom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takvom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dozvoljen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navedenog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obuhvataju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upotrebu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informatičkih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sistema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kroz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evidencije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Ministarstvo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instrukcijama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upotrebe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informatičkih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sistema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pomoć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optičkih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čitača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informatičkih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sistema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očitavanjem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prikupljanjem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obradom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mašinski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čitljive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zone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čipa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biometrijskih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sadržanih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očitavanjem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prikupljanjem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obradom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vezanih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registarske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oznake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2" w:name="str_6"/>
      <w:bookmarkEnd w:id="12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3" w:name="clan_7"/>
      <w:bookmarkEnd w:id="13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7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sumnje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ugroziti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javnu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javni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javno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zdravlje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zloupotrebiti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utvrđivanja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zakonskih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obuhvatiti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sledeće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evidencijama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bazama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Ministarstvo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unutrašnjih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poslova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daljem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tekstu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Ministarstvo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preduzimanje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naloženih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radnji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mogućnostima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otisaka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putnoj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unetih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 xml:space="preserve">3)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stranac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poseduje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važeću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vizu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ukoliko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stranac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dovoljno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izdržavanje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povratak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porekla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tranzit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obezbeđeno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izdržavanje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stranac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tranzitu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ispunjava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ulazak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tranzita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krajnje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destinacije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strancu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snazi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zaštitna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udaljenja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proterivanja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stranca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zabrana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stranac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potvrdu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vakcinisanju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dokaz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oboleo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dolazi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zahvaćenog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epidemijom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zaraznih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bolesti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stranac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zdravstveno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osiguranje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period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9)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dužine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trajanja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prethodnih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boravaka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ciljem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utvrđivanja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iskoristilo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dopušteni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period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prekoračilo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dopušteni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period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10)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svrhe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boravka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svrhe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putovanja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odredišta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tranzita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dokumenata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dokazuje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verodostojnost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navoda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nameravanom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njegovo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nosi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sobom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ugroziti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javni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poredak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javno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zdravlje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navedenog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obuhvatiti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upotrebu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alata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pribora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informatičkih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sistema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kroz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evidencije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Ministarstvo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instrukcijama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upotrebe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informatičkih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sistema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obaveštava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svrsi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postupku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4" w:name="clan_8"/>
      <w:bookmarkEnd w:id="14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8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7.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utvrđen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nabavljanje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nošenje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carinski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zajedno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utvrđivanja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osoba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prenosi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poseduje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dokaz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vlasništvu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upoređivanje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listom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potvrđuje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poziv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lovačkog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društva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poziv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organizatora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sportskog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takmičenja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potvrđuje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ispunjava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ostale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5" w:name="str_7"/>
      <w:bookmarkEnd w:id="15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odobrenja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6" w:name="clan_9"/>
      <w:bookmarkEnd w:id="16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9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analizom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rizika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procenom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činjenice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okolnosti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ukazuju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zloupotrebljava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prestali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zbog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potvrdu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privremeno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oduzeti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pisani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izveštaj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dostaviti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organizacionoj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jedinici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preduzimanja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daljih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7" w:name="str_8"/>
      <w:bookmarkEnd w:id="17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privremenom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8" w:name="clan_10"/>
      <w:bookmarkEnd w:id="18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10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privremenom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rešenjem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Ministarstva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određivanju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privremenog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privremenim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organizacione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jedinice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upućuje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19" w:name="str_9"/>
      <w:bookmarkEnd w:id="19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zahtev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stranke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0" w:name="clan_11"/>
      <w:bookmarkEnd w:id="20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11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prevoznih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vazdušnom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primenu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zahtev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organizacione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jedinice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upućuje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sačinjavaju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Izveštaj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sadrži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sledeće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datum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početka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završetka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broj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podnosiocu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zahteva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korišćenim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troškovima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korišćenja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korišćenim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podaci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prevoznim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ostale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relevantne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podatke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1" w:name="str_10"/>
      <w:bookmarkEnd w:id="21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autobusima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2" w:name="clan_12"/>
      <w:bookmarkEnd w:id="22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12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zavisno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infrastrukture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svrhu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opremu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pomagala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alat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pribor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započinju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vozača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vođe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grupe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organizovanom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putovanju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čega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pristupa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ostalih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posumnja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ispunjava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opravdan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nastaviti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3" w:name="str_11"/>
      <w:bookmarkEnd w:id="23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vozovima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4" w:name="clan_13"/>
      <w:bookmarkEnd w:id="24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13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uključujući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, 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zavisno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infrastrukture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pokretu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Rukovodilac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nadležne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organizacione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jedinice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vožnje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prikupljenih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informacija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broju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ostvarenog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kontakta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osobljem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železnice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preduzeće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obezbedio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dovoljan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broj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obezbeđenje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onemogućavanja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izbegavanja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železničkom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železničkim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osobljem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uključujući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osoblje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teretnim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praznim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posumnja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ispunjava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opravdan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nastaviti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posumnja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dođe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saznanja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skrivena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oružje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municija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eksploziv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predmeti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materije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zabranjeno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režimom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ukoliko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koloseku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pridržavanje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Prioritet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železničkom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putnički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redovnim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2B5792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5" w:name="clan_14"/>
      <w:bookmarkEnd w:id="25"/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14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zaustavljanja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opažanjem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nadzor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sprečavaju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izlaženje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ulaženje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izbacivanja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robe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predmeta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nadzor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moraju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međusobnog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komuniciranja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unutar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koristeći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opremu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šupljina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vagonu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izbegavanja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mogućih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opasnosti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oštećenja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zbog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nestručnosti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zahtevati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osoblja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železnice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pruže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pomoć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stručno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otvaranje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zatvaranje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trajanja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dozvoljeno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kretanje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završetka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obaveštava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nadležnog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železnice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završene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nameru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poslednja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putovanja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ujedno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predstavlja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napuste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6" w:name="clan_15"/>
      <w:bookmarkEnd w:id="26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15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teretnih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formiranja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kompozicije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priprema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prolazeći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duž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vagona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početku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kompozicije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osoblja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lokomotivi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teretnih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zajedno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carinskim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železnice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pažnju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primenu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zaštite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života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imovine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teretnih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utovarne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rampe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mostove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pruge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7" w:name="clan_16"/>
      <w:bookmarkEnd w:id="27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16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pokretu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susednoj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ugovorom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pokretu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unutar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teritoriju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započinju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završavaju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sledeće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pokretu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započinju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pretposlednjoj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završavaju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poslednjoj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ugovorom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pokretu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između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susednih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čega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započinju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slučaju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strane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započinje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susedne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8" w:name="str_12"/>
      <w:bookmarkEnd w:id="28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vazdušnom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29" w:name="clan_17"/>
      <w:bookmarkEnd w:id="29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17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vazdušnom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njihovog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efikasnijeg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analize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rizika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prispeća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vazduhoplova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0" w:name="str_13"/>
      <w:bookmarkEnd w:id="30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1" w:name="clan_18"/>
      <w:bookmarkEnd w:id="31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18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tako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zapovednik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upravljač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plovila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prijavljivanja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plovila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dostavlja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prepis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popisa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posade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spisak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plovilu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njihova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značaja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upoređuje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spisak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prepis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popisa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posade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dostavljenim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propisanim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bazama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evidentira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završenih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evidentiranja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predstavnikom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plovila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pripadnicima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plovilo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identiteta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2" w:name="str_14"/>
      <w:bookmarkEnd w:id="32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određenih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kategorija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3" w:name="clan_19"/>
      <w:bookmarkEnd w:id="33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19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posade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vazduhoplova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dužnosti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dokaz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pripadnosti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prednost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članovima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posade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ostalim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predviđenom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maloletnim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punoletnih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pogledu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ispunjavanja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opštih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maloletnog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obuhvata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posedovanja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saglasnosti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roditelja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staratelja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zakonskog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zastupnika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putovanje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ukoliko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pratnji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maloletnika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putovanja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vezanih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putovanje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maloletnog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Ukoliko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pristupi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maloletno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kome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prelaženje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saglasnost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poseduje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odmah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tome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obaveštava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nadležnu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daljeg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postupanja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preduzimanja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njihove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nadležnosti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4" w:name="str_15"/>
      <w:bookmarkEnd w:id="34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5" w:name="clan_20"/>
      <w:bookmarkEnd w:id="35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20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vizuelnim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ukazanoj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psi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cilju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pronalaska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predmeta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prenošenje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zabranjeno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ograničeno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zbog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utvrđivanja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identiteta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prostoriji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vodeći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računa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ličnoj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prisutnih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dođe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uništenja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oštećenja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nepotrebnog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prljanja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analize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rizika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ukazanoj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uređaje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pribor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alat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kroz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nacionalne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međunarodne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instrukcijama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način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upotrebe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uređaja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informatičkih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sistema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2B5792" w:rsidRPr="00D2541D" w:rsidRDefault="002B5792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6" w:name="str_16"/>
      <w:bookmarkEnd w:id="36"/>
    </w:p>
    <w:p w:rsidR="002B5792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bookmarkStart w:id="37" w:name="clan_21"/>
      <w:bookmarkEnd w:id="37"/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21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drumskom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obuhvataju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brzu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uvidom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predočenu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dokumentaciju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vozača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odnosno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prevoznika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prtljag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pogledu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ispunjavanja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vlastitoj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proceni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spoljašnji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unutrašnji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posumnja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ispravnost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dokumentacije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opravdan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nastaviti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naredbu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vozaču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pomeri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motor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pogona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proceni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odobrenju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napustiti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blagovremeno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preduzimanje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neophodnih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analize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rizika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ukazanoj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prilikom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tehnička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uređaje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pribor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alat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pogodnom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Detaljne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obuhvataju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unutrašnji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spoljašnji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pretragu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svih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koristiti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sakrivanje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raspoloživim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evidencijama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bazama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podataka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uključivati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rastavljanje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izvršio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rastavljanje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pojedinih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dužan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nakon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prvobitno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Ukoliko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diplomatskih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misija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oznakama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CMD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oznaka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uživa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privilegije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imunitet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slučaju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dužeg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zadržavanja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čekanja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njihovu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molbu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hitnim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omogućiti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prolazak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kolone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čeka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ukoliko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dozvoljavaju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infrastrukturni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uslovi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dolaska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predviđenog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 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8" w:name="clan_22"/>
      <w:bookmarkEnd w:id="38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22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zahtev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upravlja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čijem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nalaze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potvrdu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Potvrda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dimenzija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formata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-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izgled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sadržaj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odštampan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ovaj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njegov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sastavni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39" w:name="str_17"/>
      <w:bookmarkEnd w:id="39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Postupanje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propisima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0" w:name="clan_23"/>
      <w:bookmarkEnd w:id="40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23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pronađe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predmete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nisu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potrebni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sprovođenje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krivičnog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prekršajnog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postupaka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nadležnosti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Ministarstva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nadležnosti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pismena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predaje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dalji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postupak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nadležnom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1" w:name="str_18"/>
      <w:bookmarkEnd w:id="41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2" w:name="clan_24"/>
      <w:bookmarkEnd w:id="42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24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1)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neposrednim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opažanjem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odvijanje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efikasnost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zadržavanja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tok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istovremeno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poštovanje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bezbednosti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2)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konkretne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zadatke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naloge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službenicima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vezi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3)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primopredaju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overu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4)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vodi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zaduženja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korišćenja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overu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5)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usmerava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određuje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prioritete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6)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koordinira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službama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integrisanog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upravljanja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granicom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ostalim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službama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značaja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ostvaruje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kontakt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susednim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7)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skladu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kadrovskim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organizacionim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mogućnostima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obezbeđuje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prioritetno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posebno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hitnim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slučajevima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pružanje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hitne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medicinske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pomoći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vanredne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situacije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slučajevima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humanih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razloga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(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organizovanim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grupama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školskog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predškolskog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uzrasta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očigledno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bolesnim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iznemoglim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teškim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invalidima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trudnicama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trudnoća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vidljiva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opravdanim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slučajevima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);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8)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sačinjava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zaduženja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korišćenja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pečata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overu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prelaska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državne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granice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izgled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sadržaj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dati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Prilogu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odštampan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uz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ovaj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pravilnik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čini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njegov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sastavni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deo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smislu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šef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smene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pomoćnik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šefa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smene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vođa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smene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koga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određuje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rukovodilac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stanice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putem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dnevnog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rasporeda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smislu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prvi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naveden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nalogu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zadatka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Nalogom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zadatka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navedeno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mesto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vreme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rada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konkretni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zadaci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3" w:name="clan_25"/>
      <w:bookmarkEnd w:id="43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25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dozvoljavaju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kadrovske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organizacione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mogućnosti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pored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rukovodi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proverama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odrediće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najmanje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jednog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će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kabine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između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traka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nadgledati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vrše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obezbeđivati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provere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starati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kontrolisanju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održavanju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režima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kretanja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zadržavanja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području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Policijski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uočenog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može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predložiti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obavljanje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drugoj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liniji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4" w:name="clan_26"/>
      <w:bookmarkEnd w:id="44"/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26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Ovaj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pravilnik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stupa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snagu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osmog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objavljivanja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"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Službenom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glasniku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".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DF201E" w:rsidP="00D2541D">
      <w:pPr>
        <w:spacing w:before="100" w:beforeAutospacing="1" w:after="100" w:afterAutospacing="1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5" w:name="str_19"/>
      <w:bookmarkEnd w:id="45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 w:type="page"/>
      </w:r>
    </w:p>
    <w:p w:rsidR="00DF201E" w:rsidRPr="00D2541D" w:rsidRDefault="00E9247F" w:rsidP="00D2541D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Prilog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1.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</w:pPr>
      <w:bookmarkStart w:id="46" w:name="str_20"/>
      <w:bookmarkEnd w:id="46"/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POTVRDA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PREGLEDU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SAOBRAĆAJNOG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/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STVARI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Republika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Srbija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Ministarstvo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unutrašnjih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poslova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Uprava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Regionalni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centar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Stanica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policije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__________________________________________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Broj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: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Datum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osnovu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člana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38.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stav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3.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Zakona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graničnoj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kontroli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P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T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V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R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D</w:t>
      </w:r>
      <w:r w:rsidR="00DF201E" w:rsidRPr="00D2541D"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pacing w:val="0"/>
          <w:sz w:val="22"/>
          <w:szCs w:val="22"/>
          <w:lang w:eastAsia="en-US"/>
        </w:rPr>
        <w:t>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/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14"/>
      </w:tblGrid>
      <w:tr w:rsidR="00DF201E" w:rsidRPr="00D2541D" w:rsidTr="00DF201E">
        <w:trPr>
          <w:tblCellSpacing w:w="0" w:type="dxa"/>
        </w:trPr>
        <w:tc>
          <w:tcPr>
            <w:tcW w:w="3700" w:type="pct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Izdata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na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zahtev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_______________________________________________________________________________________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(</w:t>
            </w:r>
            <w:r w:rsidR="00E9247F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ime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="00E9247F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i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 w:rsidR="00E9247F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prezime</w:t>
            </w: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) </w:t>
            </w:r>
          </w:p>
        </w:tc>
      </w:tr>
    </w:tbl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Lični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dokument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__________________________________,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____________________, 20 ___________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godine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ulazu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/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na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graničnom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prelazu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_________________________________________________________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izvršen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je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pregled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saobraćajnog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sredstva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________________________________________________________________________________________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/>
        <w:t>(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putničko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teretno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vozilo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autobus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plovilo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,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vazduhoplov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 w:rsidR="00E9247F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</w:t>
      </w: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.)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reg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.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oznaka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države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izdavanja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_______________________________________________ 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stvari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_______________________________________________________________________________________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 xml:space="preserve">_______________________________________________________________________________________.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20"/>
        <w:gridCol w:w="3394"/>
      </w:tblGrid>
      <w:tr w:rsidR="00DF201E" w:rsidRPr="00D2541D" w:rsidTr="00DF201E">
        <w:trPr>
          <w:tblCellSpacing w:w="0" w:type="dxa"/>
        </w:trPr>
        <w:tc>
          <w:tcPr>
            <w:tcW w:w="3700" w:type="pct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1300" w:type="pct"/>
            <w:noWrap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OVLAŠĆENO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SLUŽBENO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LICE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___________________________ </w:t>
            </w:r>
          </w:p>
        </w:tc>
      </w:tr>
    </w:tbl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p w:rsidR="00DF201E" w:rsidRPr="00D2541D" w:rsidRDefault="00DF201E" w:rsidP="00D2541D">
      <w:pPr>
        <w:spacing w:before="100" w:beforeAutospacing="1" w:after="100" w:afterAutospacing="1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bookmarkStart w:id="47" w:name="str_21"/>
      <w:bookmarkEnd w:id="47"/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br w:type="page"/>
      </w:r>
    </w:p>
    <w:p w:rsidR="00DF201E" w:rsidRPr="00D2541D" w:rsidRDefault="00E9247F" w:rsidP="00D2541D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lastRenderedPageBreak/>
        <w:t>Prilog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2. </w:t>
      </w:r>
    </w:p>
    <w:p w:rsidR="00DF201E" w:rsidRPr="00D2541D" w:rsidRDefault="00E9247F" w:rsidP="00D2541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</w:pPr>
      <w:bookmarkStart w:id="48" w:name="str_22"/>
      <w:bookmarkEnd w:id="48"/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PREGLED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ZADUŽENjA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I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KORIŠĆENjA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PEČATA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ZA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OVERU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PRELASKA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DRŽAVNE</w:t>
      </w:r>
      <w:r w:rsidR="00DF201E" w:rsidRPr="00D2541D"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b/>
          <w:color w:val="auto"/>
          <w:spacing w:val="0"/>
          <w:sz w:val="22"/>
          <w:szCs w:val="22"/>
          <w:lang w:eastAsia="en-US"/>
        </w:rPr>
        <w:t>GRANICE</w:t>
      </w:r>
    </w:p>
    <w:p w:rsidR="00DF201E" w:rsidRPr="00D2541D" w:rsidRDefault="00E9247F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Granični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prelaz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________________________________________ </w:t>
      </w:r>
      <w:r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>Datum</w:t>
      </w:r>
      <w:r w:rsidR="00DF201E"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: ___________________________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4"/>
        <w:gridCol w:w="1212"/>
        <w:gridCol w:w="2385"/>
        <w:gridCol w:w="3506"/>
        <w:gridCol w:w="732"/>
        <w:gridCol w:w="1435"/>
      </w:tblGrid>
      <w:tr w:rsidR="00DF201E" w:rsidRPr="00D2541D" w:rsidTr="00DF20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Ulaz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/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Izlaz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Broj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pečata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Vremenski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period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od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/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do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Ime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i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prezime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policijskog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službenika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Potpis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Otisak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pečata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F201E" w:rsidRPr="00D2541D" w:rsidRDefault="00DF201E" w:rsidP="00D2541D">
      <w:pPr>
        <w:spacing w:before="100" w:beforeAutospacing="1" w:after="100" w:afterAutospacing="1"/>
        <w:jc w:val="left"/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</w:pPr>
      <w:r w:rsidRPr="00D2541D">
        <w:rPr>
          <w:rFonts w:ascii="Arial" w:eastAsia="Times New Roman" w:hAnsi="Arial" w:cs="Arial"/>
          <w:color w:val="auto"/>
          <w:spacing w:val="0"/>
          <w:sz w:val="22"/>
          <w:szCs w:val="22"/>
          <w:lang w:eastAsia="en-US"/>
        </w:rPr>
        <w:t xml:space="preserve">  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75"/>
        <w:gridCol w:w="3639"/>
      </w:tblGrid>
      <w:tr w:rsidR="00DF201E" w:rsidRPr="00D2541D" w:rsidTr="00DF201E">
        <w:trPr>
          <w:tblCellSpacing w:w="0" w:type="dxa"/>
        </w:trPr>
        <w:tc>
          <w:tcPr>
            <w:tcW w:w="3650" w:type="pct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1350" w:type="pct"/>
            <w:hideMark/>
          </w:tcPr>
          <w:p w:rsidR="00DF201E" w:rsidRPr="00D2541D" w:rsidRDefault="00E9247F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Rukovodilac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graničnih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>provera</w:t>
            </w:r>
            <w:r w:rsidR="00DF201E"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1E" w:rsidRPr="00D2541D" w:rsidTr="00DF201E">
        <w:trPr>
          <w:tblCellSpacing w:w="0" w:type="dxa"/>
        </w:trPr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  </w:t>
            </w:r>
          </w:p>
        </w:tc>
        <w:tc>
          <w:tcPr>
            <w:tcW w:w="0" w:type="auto"/>
            <w:hideMark/>
          </w:tcPr>
          <w:p w:rsidR="00DF201E" w:rsidRPr="00D2541D" w:rsidRDefault="00DF201E" w:rsidP="00D2541D">
            <w:pPr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</w:pPr>
            <w:r w:rsidRPr="00D2541D">
              <w:rPr>
                <w:rFonts w:ascii="Arial" w:eastAsia="Times New Roman" w:hAnsi="Arial" w:cs="Arial"/>
                <w:color w:val="auto"/>
                <w:spacing w:val="0"/>
                <w:sz w:val="22"/>
                <w:szCs w:val="22"/>
                <w:lang w:eastAsia="en-US"/>
              </w:rPr>
              <w:t xml:space="preserve">_____________________________ </w:t>
            </w:r>
          </w:p>
        </w:tc>
      </w:tr>
      <w:bookmarkEnd w:id="0"/>
    </w:tbl>
    <w:p w:rsidR="00B96C68" w:rsidRPr="00D2541D" w:rsidRDefault="00B96C68" w:rsidP="00D2541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B96C68" w:rsidRPr="00D2541D" w:rsidSect="00D2541D"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8C9"/>
    <w:multiLevelType w:val="multilevel"/>
    <w:tmpl w:val="1F96426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suff w:val="space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D544354"/>
    <w:multiLevelType w:val="multilevel"/>
    <w:tmpl w:val="9050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E"/>
    <w:rsid w:val="00026007"/>
    <w:rsid w:val="0009747A"/>
    <w:rsid w:val="00216DD6"/>
    <w:rsid w:val="00263A2E"/>
    <w:rsid w:val="002A51E9"/>
    <w:rsid w:val="002B5792"/>
    <w:rsid w:val="004C0E96"/>
    <w:rsid w:val="0062740F"/>
    <w:rsid w:val="008C04AE"/>
    <w:rsid w:val="0096112F"/>
    <w:rsid w:val="00B60D00"/>
    <w:rsid w:val="00B96C68"/>
    <w:rsid w:val="00C212D5"/>
    <w:rsid w:val="00C619CD"/>
    <w:rsid w:val="00D2541D"/>
    <w:rsid w:val="00DF201E"/>
    <w:rsid w:val="00E12989"/>
    <w:rsid w:val="00E9247F"/>
    <w:rsid w:val="00F000DD"/>
    <w:rsid w:val="00F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2989"/>
    <w:rPr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rFonts w:eastAsia="Times New Roman"/>
      <w:b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rFonts w:eastAsia="Times New Roman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rFonts w:eastAsia="Times New Roman"/>
      <w:b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rFonts w:eastAsia="Times New Roman"/>
      <w:b/>
      <w:i/>
      <w:sz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rFonts w:eastAsia="Times New Roman"/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rFonts w:eastAsia="Times New Roman"/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rFonts w:eastAsia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rFonts w:eastAsia="Times New Roman"/>
      <w:b/>
      <w:color w:val="auto"/>
      <w:spacing w:val="0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  <w:style w:type="paragraph" w:customStyle="1" w:styleId="podnaslovpropisa">
    <w:name w:val="podnaslovpropis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110---naslov-clana">
    <w:name w:val="wyq110---naslov-clan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clan">
    <w:name w:val="clan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1">
    <w:name w:val="Normal1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prored">
    <w:name w:val="normalprored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050---odeljak">
    <w:name w:val="wyq050---odeljak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centar">
    <w:name w:val="normalcentar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pacing w:val="2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12989"/>
    <w:rPr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E12989"/>
    <w:pPr>
      <w:keepNext/>
      <w:jc w:val="right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12989"/>
    <w:pPr>
      <w:keepNext/>
      <w:numPr>
        <w:ilvl w:val="1"/>
        <w:numId w:val="15"/>
      </w:numPr>
      <w:jc w:val="center"/>
      <w:outlineLvl w:val="1"/>
    </w:pPr>
    <w:rPr>
      <w:rFonts w:eastAsia="Times New Roman"/>
      <w:b/>
      <w:sz w:val="22"/>
      <w:szCs w:val="20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12989"/>
    <w:pPr>
      <w:keepNext/>
      <w:jc w:val="center"/>
      <w:outlineLvl w:val="2"/>
    </w:pPr>
    <w:rPr>
      <w:rFonts w:eastAsia="Times New Roman"/>
      <w:b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E12989"/>
    <w:pPr>
      <w:keepNext/>
      <w:numPr>
        <w:ilvl w:val="3"/>
        <w:numId w:val="21"/>
      </w:numPr>
      <w:jc w:val="center"/>
      <w:outlineLvl w:val="3"/>
    </w:pPr>
    <w:rPr>
      <w:rFonts w:eastAsia="Times New Roman"/>
      <w:b/>
      <w:sz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12989"/>
    <w:pPr>
      <w:keepNext/>
      <w:numPr>
        <w:ilvl w:val="4"/>
        <w:numId w:val="21"/>
      </w:numPr>
      <w:tabs>
        <w:tab w:val="left" w:pos="1134"/>
      </w:tabs>
      <w:spacing w:before="240" w:after="60"/>
      <w:outlineLvl w:val="4"/>
    </w:pPr>
    <w:rPr>
      <w:rFonts w:eastAsia="Times New Roman"/>
      <w:b/>
      <w:i/>
      <w:sz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2989"/>
    <w:pPr>
      <w:keepNext/>
      <w:numPr>
        <w:ilvl w:val="5"/>
        <w:numId w:val="21"/>
      </w:numPr>
      <w:tabs>
        <w:tab w:val="left" w:pos="1134"/>
      </w:tabs>
      <w:spacing w:before="240" w:after="60"/>
      <w:outlineLvl w:val="5"/>
    </w:pPr>
    <w:rPr>
      <w:rFonts w:eastAsia="Times New Roman"/>
      <w:b/>
      <w:sz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12989"/>
    <w:pPr>
      <w:keepNext/>
      <w:numPr>
        <w:ilvl w:val="6"/>
        <w:numId w:val="21"/>
      </w:numPr>
      <w:tabs>
        <w:tab w:val="left" w:pos="1134"/>
      </w:tabs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12989"/>
    <w:pPr>
      <w:keepNext/>
      <w:numPr>
        <w:ilvl w:val="7"/>
        <w:numId w:val="21"/>
      </w:numPr>
      <w:tabs>
        <w:tab w:val="left" w:pos="1134"/>
      </w:tabs>
      <w:spacing w:before="240" w:after="60"/>
      <w:outlineLvl w:val="7"/>
    </w:pPr>
    <w:rPr>
      <w:rFonts w:eastAsia="Times New Roman"/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12989"/>
    <w:pPr>
      <w:keepNext/>
      <w:numPr>
        <w:ilvl w:val="8"/>
        <w:numId w:val="21"/>
      </w:numPr>
      <w:tabs>
        <w:tab w:val="left" w:pos="1134"/>
      </w:tabs>
      <w:spacing w:before="240" w:after="60"/>
      <w:outlineLvl w:val="8"/>
    </w:pPr>
    <w:rPr>
      <w:rFonts w:eastAsia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2989"/>
    <w:rPr>
      <w:rFonts w:ascii="Times New Roman" w:eastAsia="Times New Roman" w:hAnsi="Times New Roman" w:cs="Times New Roman"/>
      <w:b/>
      <w:szCs w:val="20"/>
      <w:lang w:eastAsia="sr-Latn-CS"/>
    </w:rPr>
  </w:style>
  <w:style w:type="character" w:customStyle="1" w:styleId="Heading2Char">
    <w:name w:val="Heading 2 Char"/>
    <w:link w:val="Heading2"/>
    <w:rsid w:val="00E12989"/>
    <w:rPr>
      <w:rFonts w:eastAsia="Times New Roman" w:cs="Times New Roman"/>
      <w:b/>
      <w:sz w:val="22"/>
      <w:szCs w:val="20"/>
      <w:lang w:val="sr-Cyrl-CS" w:eastAsia="sr-Latn-CS"/>
    </w:rPr>
  </w:style>
  <w:style w:type="character" w:customStyle="1" w:styleId="Heading3Char">
    <w:name w:val="Heading 3 Char"/>
    <w:link w:val="Heading3"/>
    <w:rsid w:val="00E12989"/>
    <w:rPr>
      <w:rFonts w:ascii="Times New Roman" w:eastAsia="Times New Roman" w:hAnsi="Times New Roman" w:cs="Times New Roman"/>
      <w:b/>
      <w:szCs w:val="20"/>
      <w:lang w:val="sr-Cyrl-CS" w:eastAsia="sr-Latn-CS"/>
    </w:rPr>
  </w:style>
  <w:style w:type="character" w:customStyle="1" w:styleId="Heading4Char">
    <w:name w:val="Heading 4 Char"/>
    <w:link w:val="Heading4"/>
    <w:rsid w:val="00E12989"/>
    <w:rPr>
      <w:rFonts w:eastAsia="Times New Roman"/>
      <w:b/>
      <w:sz w:val="26"/>
    </w:rPr>
  </w:style>
  <w:style w:type="character" w:customStyle="1" w:styleId="Heading5Char">
    <w:name w:val="Heading 5 Char"/>
    <w:link w:val="Heading5"/>
    <w:rsid w:val="00E12989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E12989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E12989"/>
    <w:rPr>
      <w:rFonts w:eastAsia="Times New Roman"/>
    </w:rPr>
  </w:style>
  <w:style w:type="character" w:customStyle="1" w:styleId="Heading8Char">
    <w:name w:val="Heading 8 Char"/>
    <w:link w:val="Heading8"/>
    <w:rsid w:val="00E12989"/>
    <w:rPr>
      <w:rFonts w:eastAsia="Times New Roman"/>
      <w:i/>
    </w:rPr>
  </w:style>
  <w:style w:type="character" w:customStyle="1" w:styleId="Heading9Char">
    <w:name w:val="Heading 9 Char"/>
    <w:link w:val="Heading9"/>
    <w:rsid w:val="00E12989"/>
    <w:rPr>
      <w:rFonts w:eastAsia="Times New Roman" w:cs="Times New Roman"/>
      <w:sz w:val="22"/>
      <w:szCs w:val="20"/>
    </w:rPr>
  </w:style>
  <w:style w:type="character" w:styleId="Emphasis">
    <w:name w:val="Emphasis"/>
    <w:uiPriority w:val="99"/>
    <w:qFormat/>
    <w:rsid w:val="00E12989"/>
    <w:rPr>
      <w:i/>
      <w:iCs/>
    </w:rPr>
  </w:style>
  <w:style w:type="paragraph" w:styleId="NoSpacing">
    <w:name w:val="No Spacing"/>
    <w:link w:val="NoSpacingChar"/>
    <w:uiPriority w:val="1"/>
    <w:qFormat/>
    <w:rsid w:val="00E12989"/>
    <w:pPr>
      <w:spacing w:line="360" w:lineRule="auto"/>
    </w:pPr>
    <w:rPr>
      <w:rFonts w:ascii="Calibri" w:eastAsia="Times New Roman" w:hAnsi="Calibri"/>
      <w:sz w:val="22"/>
    </w:rPr>
  </w:style>
  <w:style w:type="character" w:customStyle="1" w:styleId="NoSpacingChar">
    <w:name w:val="No Spacing Char"/>
    <w:link w:val="NoSpacing"/>
    <w:uiPriority w:val="1"/>
    <w:rsid w:val="00E12989"/>
    <w:rPr>
      <w:rFonts w:ascii="Calibri" w:eastAsia="Times New Roman" w:hAnsi="Calibr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E129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qFormat/>
    <w:rsid w:val="00E129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E12989"/>
    <w:pPr>
      <w:jc w:val="center"/>
    </w:pPr>
    <w:rPr>
      <w:rFonts w:eastAsia="Times New Roman"/>
      <w:b/>
      <w:color w:val="auto"/>
      <w:spacing w:val="0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E12989"/>
    <w:rPr>
      <w:rFonts w:eastAsia="Times New Roman"/>
      <w:b/>
      <w:color w:val="auto"/>
      <w:spacing w:val="0"/>
      <w:lang w:val="sr-Cyrl-CS"/>
    </w:rPr>
  </w:style>
  <w:style w:type="paragraph" w:customStyle="1" w:styleId="podnaslovpropisa">
    <w:name w:val="podnaslovpropis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110---naslov-clana">
    <w:name w:val="wyq110---naslov-clana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clan">
    <w:name w:val="clan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1">
    <w:name w:val="Normal1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prored">
    <w:name w:val="normalprored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wyq050---odeljak">
    <w:name w:val="wyq050---odeljak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  <w:style w:type="paragraph" w:customStyle="1" w:styleId="normalcentar">
    <w:name w:val="normalcentar"/>
    <w:basedOn w:val="Normal"/>
    <w:rsid w:val="00DF201E"/>
    <w:pPr>
      <w:spacing w:before="100" w:beforeAutospacing="1" w:after="100" w:afterAutospacing="1"/>
      <w:jc w:val="left"/>
    </w:pPr>
    <w:rPr>
      <w:rFonts w:eastAsia="Times New Roman"/>
      <w:color w:val="auto"/>
      <w:spacing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dcterms:created xsi:type="dcterms:W3CDTF">2019-01-30T13:35:00Z</dcterms:created>
  <dcterms:modified xsi:type="dcterms:W3CDTF">2019-01-30T13:35:00Z</dcterms:modified>
</cp:coreProperties>
</file>