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52172E" w:rsidRPr="009A5D42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44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52172E" w:rsidRPr="009A5D42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52172E" w:rsidRPr="009A5D42">
        <w:rPr>
          <w:rFonts w:ascii="Times New Roman" w:hAnsi="Times New Roman" w:cs="Times New Roman"/>
          <w:color w:val="000000"/>
        </w:rPr>
        <w:t xml:space="preserve">. 111/09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20/15),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1A641A" w:rsidRPr="009A5D42" w:rsidRDefault="00FD4D47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1A641A" w:rsidRPr="009A5D42" w:rsidRDefault="00FD4D47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tehničkim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normativima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zaštitu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industrijskih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objekata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"</w:t>
      </w:r>
      <w:r w:rsidR="00FD4D47">
        <w:rPr>
          <w:rFonts w:ascii="Times New Roman" w:hAnsi="Times New Roman" w:cs="Times New Roman"/>
          <w:color w:val="000000"/>
        </w:rPr>
        <w:t>Službeni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glasnik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RS</w:t>
      </w:r>
      <w:r w:rsidRPr="009A5D42">
        <w:rPr>
          <w:rFonts w:ascii="Times New Roman" w:hAnsi="Times New Roman" w:cs="Times New Roman"/>
          <w:color w:val="000000"/>
        </w:rPr>
        <w:t xml:space="preserve">", </w:t>
      </w:r>
      <w:r w:rsidR="00FD4D47">
        <w:rPr>
          <w:rFonts w:ascii="Times New Roman" w:hAnsi="Times New Roman" w:cs="Times New Roman"/>
          <w:color w:val="000000"/>
        </w:rPr>
        <w:t>broj</w:t>
      </w:r>
      <w:r w:rsidRPr="009A5D42">
        <w:rPr>
          <w:rFonts w:ascii="Times New Roman" w:hAnsi="Times New Roman" w:cs="Times New Roman"/>
          <w:color w:val="000000"/>
        </w:rPr>
        <w:t xml:space="preserve"> 1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3. </w:t>
      </w:r>
      <w:r w:rsidR="00FD4D47">
        <w:rPr>
          <w:rFonts w:ascii="Times New Roman" w:hAnsi="Times New Roman" w:cs="Times New Roman"/>
          <w:color w:val="000000"/>
        </w:rPr>
        <w:t>januara</w:t>
      </w:r>
      <w:r w:rsidRPr="009A5D42">
        <w:rPr>
          <w:rFonts w:ascii="Times New Roman" w:hAnsi="Times New Roman" w:cs="Times New Roman"/>
          <w:color w:val="000000"/>
        </w:rPr>
        <w:t xml:space="preserve"> 2018.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I. </w:t>
      </w:r>
      <w:r w:rsidR="00FD4D47">
        <w:rPr>
          <w:rFonts w:ascii="Times New Roman" w:hAnsi="Times New Roman" w:cs="Times New Roman"/>
          <w:color w:val="000000"/>
        </w:rPr>
        <w:t>UVODNE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ODREDBE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normativi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dogradnju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rekonstrukciju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primenjuju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opremu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instalacije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objektom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podrazumeva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izradu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obradu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oplemenjivanje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pripremu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tehnologije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kontrolu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distribuciju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.), </w:t>
      </w:r>
      <w:r>
        <w:rPr>
          <w:rFonts w:ascii="Times New Roman" w:hAnsi="Times New Roman" w:cs="Times New Roman"/>
          <w:color w:val="000000"/>
        </w:rPr>
        <w:t>priručno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sirovina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poluproizvoda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skladištenje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ambalaži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pripadajuće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sporedne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remontni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radovi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dogradnja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opreme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opremu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dogradnje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Rekonstrukcijom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dogradnjom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umanjiti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postojećeg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industrijske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samo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montažu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tehničkih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postrojenja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lica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obilaze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samo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povremeno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radi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održavanja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kontrole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industrijske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otvoreni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kao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natkrivena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postrojenja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industrijske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odnosno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postrojenja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proizvodnju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>/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distribuciju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energije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delove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industrijskih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uglavnom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administraciju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odvojeni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poseban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segment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čeoni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objekti</w:t>
      </w:r>
      <w:r w:rsidRPr="009A5D42">
        <w:rPr>
          <w:rFonts w:ascii="Times New Roman" w:hAnsi="Times New Roman" w:cs="Times New Roman"/>
          <w:color w:val="000000"/>
        </w:rPr>
        <w:t>).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II. </w:t>
      </w:r>
      <w:r w:rsidR="00FD4D47">
        <w:rPr>
          <w:rFonts w:ascii="Times New Roman" w:hAnsi="Times New Roman" w:cs="Times New Roman"/>
          <w:color w:val="000000"/>
        </w:rPr>
        <w:t>DEFINICIJE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Pojedini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pojmovi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značenje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sporedne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kancelarije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laboratorije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ispitivanja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prostorija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razvoj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kuhinje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restorani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garderobe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sanitarne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</w:t>
      </w:r>
      <w:r w:rsidRPr="009A5D42">
        <w:rPr>
          <w:rFonts w:ascii="Times New Roman" w:hAnsi="Times New Roman" w:cs="Times New Roman"/>
          <w:color w:val="000000"/>
        </w:rPr>
        <w:t xml:space="preserve">.)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pripadajuće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poslovne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povezane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proizvodnim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skladišnim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prostorom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odvojene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graničnim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priručno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skladište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potrebe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tehnološkog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procesa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proizvodnje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čuvaju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sirovine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poluproizvodi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proizvodi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ali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duže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dana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vatrogasna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jedinica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subjekta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zaštite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vatrogasna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jedinica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subjekt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formirao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odredbama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propisa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uređena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oblast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organizovanja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zaštite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kategoriji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ugroženosti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doba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5 min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trenutka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alarmiranja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stići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mesta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intervencija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Broj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vatrogasaca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biti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ravnomerno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raspoređen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smenama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požarni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PS</w:t>
      </w:r>
      <w:r w:rsidRPr="009A5D42">
        <w:rPr>
          <w:rFonts w:ascii="Times New Roman" w:hAnsi="Times New Roman" w:cs="Times New Roman"/>
          <w:color w:val="000000"/>
        </w:rPr>
        <w:t xml:space="preserve">)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odvojen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delova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horizontalnim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vertikalnim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pregradama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više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samostalno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tretirati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pogledu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tehnoloških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organizacionih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bezbednosti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III. </w:t>
      </w:r>
      <w:r w:rsidR="00FD4D47">
        <w:rPr>
          <w:rFonts w:ascii="Times New Roman" w:hAnsi="Times New Roman" w:cs="Times New Roman"/>
          <w:color w:val="000000"/>
        </w:rPr>
        <w:t>PRISTUP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VATROGASNA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VOZILA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6.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Svakom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pristupni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izgrađen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Pristupni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parkiranje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zaustavljanje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bilo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prepreka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ometaju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intervenciju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7.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Slobodnostojećim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5.000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nizu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5.000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pristupni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kružni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</w:t>
      </w:r>
      <w:r w:rsidR="0052172E" w:rsidRPr="009A5D42">
        <w:rPr>
          <w:rFonts w:ascii="Times New Roman" w:hAnsi="Times New Roman" w:cs="Times New Roman"/>
          <w:color w:val="000000"/>
        </w:rPr>
        <w:t>).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IV. </w:t>
      </w:r>
      <w:r w:rsidR="00FD4D47">
        <w:rPr>
          <w:rFonts w:ascii="Times New Roman" w:hAnsi="Times New Roman" w:cs="Times New Roman"/>
          <w:color w:val="000000"/>
        </w:rPr>
        <w:t>GRAĐEVINSKE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SPREČAVANjE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PRENOSA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8.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spreči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prenošenje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efekata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suseda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Ispunjenost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susedu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sprečiti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prenos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efekata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eksplozije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udarnog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talasa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letećih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fragmenata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susedni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Bezbednosno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srpskim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obuhvaćena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metodologija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9 m.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prenosa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susedne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parcele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5 m.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otporan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60 min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9.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palete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ambalaža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otpad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udaljenosti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6 m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izrađenog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prizemni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višeetažni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podzemnih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Dvoetažni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raspoređene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prilaze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vatrogasce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nadzemne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90 min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prizemni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potpuno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delimično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terena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kota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52172E" w:rsidRPr="009A5D42">
        <w:rPr>
          <w:rFonts w:ascii="Times New Roman" w:hAnsi="Times New Roman" w:cs="Times New Roman"/>
          <w:color w:val="000000"/>
        </w:rPr>
        <w:t xml:space="preserve"> 1 m </w:t>
      </w:r>
      <w:r>
        <w:rPr>
          <w:rFonts w:ascii="Times New Roman" w:hAnsi="Times New Roman" w:cs="Times New Roman"/>
          <w:color w:val="000000"/>
        </w:rPr>
        <w:t>ispod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terena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iznositi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1.000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suterena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nižoj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etaži</w:t>
      </w:r>
      <w:r w:rsidR="0052172E" w:rsidRPr="009A5D42">
        <w:rPr>
          <w:rFonts w:ascii="Times New Roman" w:hAnsi="Times New Roman" w:cs="Times New Roman"/>
          <w:color w:val="000000"/>
        </w:rPr>
        <w:t xml:space="preserve"> 500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izdvojen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90 min </w:t>
      </w:r>
      <w:r>
        <w:rPr>
          <w:rFonts w:ascii="Times New Roman" w:hAnsi="Times New Roman" w:cs="Times New Roman"/>
          <w:color w:val="000000"/>
        </w:rPr>
        <w:t>izvedene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uvećati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prilaz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vatrogascima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uvećati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maksimalno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konstruktivnih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računskim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putem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razdvajaju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izdižu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0,5 m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pokrivača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pouzdano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sprečiti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Sprečavanje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prenosa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prekidnim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 m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izvođenjem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rebra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dužine</w:t>
      </w:r>
      <w:r w:rsidR="0052172E" w:rsidRPr="009A5D42">
        <w:rPr>
          <w:rFonts w:ascii="Times New Roman" w:hAnsi="Times New Roman" w:cs="Times New Roman"/>
          <w:color w:val="000000"/>
        </w:rPr>
        <w:t xml:space="preserve"> 0,5 m (</w:t>
      </w:r>
      <w:r>
        <w:rPr>
          <w:rFonts w:ascii="Times New Roman" w:hAnsi="Times New Roman" w:cs="Times New Roman"/>
          <w:color w:val="000000"/>
        </w:rPr>
        <w:t>mereno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fasade</w:t>
      </w:r>
      <w:r w:rsidR="0052172E" w:rsidRPr="009A5D42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čija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Sprečavanje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prenosa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vertikalnim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prekidnim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 m, </w:t>
      </w:r>
      <w:r>
        <w:rPr>
          <w:rFonts w:ascii="Times New Roman" w:hAnsi="Times New Roman" w:cs="Times New Roman"/>
          <w:color w:val="000000"/>
        </w:rPr>
        <w:t>čija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V. </w:t>
      </w:r>
      <w:r w:rsidR="00FD4D47">
        <w:rPr>
          <w:rFonts w:ascii="Times New Roman" w:hAnsi="Times New Roman" w:cs="Times New Roman"/>
          <w:color w:val="000000"/>
        </w:rPr>
        <w:t>EVAKUACIONI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PUTEVI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1.600 m²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stepeništa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stepenište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evakuaciono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Evakuacija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podrumskih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suterenskih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omogućena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stepeništa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različite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Stepeništa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evakuacione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spadaju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koridori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evakuaciona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stepeništa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evakuacionih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napolje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evakuacionom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stepeništu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napolje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dostupan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prolaz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0,8 m.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14.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Licima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evakuišu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dostupan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polazne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iznosi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35 m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prosečna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5 m;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50 m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prosečna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veća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10 m.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opremljen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dojavu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polazne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iznosi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50 m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prosečna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5 m;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70 m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prosečna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veća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10 m.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prosečna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5 m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10 m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interpolacijom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52172E" w:rsidRPr="009A5D42">
        <w:rPr>
          <w:rFonts w:ascii="Times New Roman" w:hAnsi="Times New Roman" w:cs="Times New Roman"/>
          <w:color w:val="000000"/>
        </w:rPr>
        <w:t xml:space="preserve">. 1.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prizemlju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opremljen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dojavu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polazne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iznosi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najviše</w:t>
      </w:r>
      <w:r w:rsidR="0052172E" w:rsidRPr="009A5D42">
        <w:rPr>
          <w:rFonts w:ascii="Times New Roman" w:hAnsi="Times New Roman" w:cs="Times New Roman"/>
          <w:color w:val="000000"/>
        </w:rPr>
        <w:t xml:space="preserve"> 120 m,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prosečna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7 m.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zaokretna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otvaraju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tehnologije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sigurnu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ugradnja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zaokretnih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krajnjem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izlazu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signal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dojavu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posedovati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mehanizam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mehaničku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deblokadu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ugradnja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zaokretnih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VI. </w:t>
      </w:r>
      <w:r w:rsidR="00FD4D47">
        <w:rPr>
          <w:rFonts w:ascii="Times New Roman" w:hAnsi="Times New Roman" w:cs="Times New Roman"/>
          <w:color w:val="000000"/>
        </w:rPr>
        <w:t>TEHNOLOŠKE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BEZBEDNOSTI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16.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Tehnološke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proističu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značajne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materijale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instalacije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., </w:t>
      </w:r>
      <w:r>
        <w:rPr>
          <w:rFonts w:ascii="Times New Roman" w:hAnsi="Times New Roman" w:cs="Times New Roman"/>
          <w:color w:val="000000"/>
        </w:rPr>
        <w:t>čine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dokumentacije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eksploataciju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Obavezno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definišu</w:t>
      </w:r>
      <w:r w:rsidR="0052172E" w:rsidRPr="009A5D42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fizičko</w:t>
      </w:r>
      <w:r w:rsidR="0052172E" w:rsidRPr="009A5D42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hemijske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karakteristike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oznake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korišćenja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transporta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vrsta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procena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potiče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analiza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parametara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ugradnjom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instalacija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parametara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17.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odvijaju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skladište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drže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formiraju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zapaljivu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atmosferu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primeren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18.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Sirovine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poluproizvodi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proizvodi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priručnim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skladištima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definiše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kapacitet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slaganja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sirovine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polugotovi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gotovi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odložiti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projektom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prenesu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fazu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odlaganje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gotovih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19.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podovima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označiti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saobraćajnice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priručna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odlaganje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područja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linija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montaže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>.).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očekivano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izvode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elektroprovodljivi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varniče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udaru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Punjenje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sekundarnih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baterija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baterijskih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stacionarne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baterije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standardom</w:t>
      </w:r>
      <w:r w:rsidR="0052172E" w:rsidRPr="009A5D42">
        <w:rPr>
          <w:rFonts w:ascii="Times New Roman" w:hAnsi="Times New Roman" w:cs="Times New Roman"/>
          <w:color w:val="000000"/>
        </w:rPr>
        <w:t xml:space="preserve"> SRPS EN 50272-2.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Punjenje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sekundarnih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baterija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baterijskih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baterije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vuču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standardom</w:t>
      </w:r>
      <w:r w:rsidR="0052172E" w:rsidRPr="009A5D42">
        <w:rPr>
          <w:rFonts w:ascii="Times New Roman" w:hAnsi="Times New Roman" w:cs="Times New Roman"/>
          <w:color w:val="000000"/>
        </w:rPr>
        <w:t xml:space="preserve"> SRPS EN 62485-3.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VII. </w:t>
      </w:r>
      <w:r w:rsidR="00FD4D47">
        <w:rPr>
          <w:rFonts w:ascii="Times New Roman" w:hAnsi="Times New Roman" w:cs="Times New Roman"/>
          <w:color w:val="000000"/>
        </w:rPr>
        <w:t>SISTEMI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VENTILACIJE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GREJANjA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Prostorija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generatora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kotlovi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čvrsto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gorivo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gasni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FD4D47">
        <w:rPr>
          <w:rFonts w:ascii="Times New Roman" w:hAnsi="Times New Roman" w:cs="Times New Roman"/>
          <w:color w:val="000000"/>
        </w:rPr>
        <w:t>zidovi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međuspratna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60 min </w:t>
      </w:r>
      <w:r w:rsidR="00FD4D47">
        <w:rPr>
          <w:rFonts w:ascii="Times New Roman" w:hAnsi="Times New Roman" w:cs="Times New Roman"/>
          <w:color w:val="000000"/>
        </w:rPr>
        <w:t>moraju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biti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izvedeni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vrata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ulazu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postavljaju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strane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slučaju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kada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ulazi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moraju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biti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60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skladišni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gorivo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čvrsto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tečno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gasovito</w:t>
      </w:r>
      <w:r w:rsidRPr="009A5D42">
        <w:rPr>
          <w:rFonts w:ascii="Times New Roman" w:hAnsi="Times New Roman" w:cs="Times New Roman"/>
          <w:color w:val="000000"/>
        </w:rPr>
        <w:t xml:space="preserve">) </w:t>
      </w:r>
      <w:r w:rsidR="00FD4D47">
        <w:rPr>
          <w:rFonts w:ascii="Times New Roman" w:hAnsi="Times New Roman" w:cs="Times New Roman"/>
          <w:color w:val="000000"/>
        </w:rPr>
        <w:t>mora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nalaziti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van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bezbednom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Skladišni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gorivo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čvrsto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tečno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gasovito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međuspratna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90 min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čvrsto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transporterom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jedinstven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međuspratna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90 min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generatori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50 kW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prostorima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izgradnja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generatora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kotlova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generatora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komprimovani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prirodni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KPG</w:t>
      </w:r>
      <w:r w:rsidR="0052172E" w:rsidRPr="009A5D42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rastojanja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474"/>
        <w:gridCol w:w="3657"/>
        <w:gridCol w:w="2997"/>
      </w:tblGrid>
      <w:tr w:rsidR="001A641A" w:rsidRPr="009A5D42">
        <w:trPr>
          <w:trHeight w:val="45"/>
          <w:tblCellSpacing w:w="0" w:type="auto"/>
        </w:trPr>
        <w:tc>
          <w:tcPr>
            <w:tcW w:w="3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IZVORI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OPASNOSTI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Boce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skladištenje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uključujući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vozilo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isporuku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gasa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Odušci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normalnom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radu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odušni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ventili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BEZBEDNOSNA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RASTOJANjA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[m]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Objekti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Javni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putevi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Granica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ograda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postrojenja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Regulaciona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stanica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putevi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pešačke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staze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3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Skladišta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ostalih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tipova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goriva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5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Prilaz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servis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2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Zapaljive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materije</w:t>
            </w:r>
          </w:p>
        </w:tc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4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&gt; 4</w:t>
            </w:r>
          </w:p>
        </w:tc>
      </w:tr>
    </w:tbl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komprimovani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prirodni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KPG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betonskom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platou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52172E" w:rsidRPr="009A5D42">
        <w:rPr>
          <w:rFonts w:ascii="Times New Roman" w:hAnsi="Times New Roman" w:cs="Times New Roman"/>
          <w:color w:val="000000"/>
        </w:rPr>
        <w:t xml:space="preserve"> 2 m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ispunjavati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Regulaciona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komprimovani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prirodni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KPG</w:t>
      </w:r>
      <w:r w:rsidR="0052172E" w:rsidRPr="009A5D42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5 m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pojam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primenjuju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srpskog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standarda</w:t>
      </w:r>
      <w:r w:rsidR="0052172E" w:rsidRPr="009A5D42">
        <w:rPr>
          <w:rFonts w:ascii="Times New Roman" w:hAnsi="Times New Roman" w:cs="Times New Roman"/>
          <w:color w:val="000000"/>
        </w:rPr>
        <w:t xml:space="preserve"> SRPS EN 60079-10-1.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Zone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</w:t>
      </w:r>
      <w:r w:rsidR="0052172E" w:rsidRPr="009A5D42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zije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stvoriti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normalnog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komprimovani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prirodni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gas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KPG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iznose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489"/>
        <w:gridCol w:w="4710"/>
        <w:gridCol w:w="2929"/>
      </w:tblGrid>
      <w:tr w:rsidR="001A641A" w:rsidRPr="009A5D42">
        <w:trPr>
          <w:trHeight w:val="45"/>
          <w:tblCellSpacing w:w="0" w:type="auto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IZVORI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OPASNOSTI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ZONE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OPASNOSTI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EKSPLOZIJA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Zona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Zona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RASTOJANjA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Spoj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cevovoda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bocama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5 m </w:t>
            </w:r>
            <w:r w:rsidR="00FD4D47">
              <w:rPr>
                <w:rFonts w:ascii="Times New Roman" w:hAnsi="Times New Roman" w:cs="Times New Roman"/>
                <w:color w:val="000000"/>
              </w:rPr>
              <w:t>u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radijusu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od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priključka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NEMA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Krajevi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odušnih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cevovoda</w:t>
            </w:r>
          </w:p>
        </w:tc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15 m </w:t>
            </w:r>
            <w:r w:rsidR="00FD4D47">
              <w:rPr>
                <w:rFonts w:ascii="Times New Roman" w:hAnsi="Times New Roman" w:cs="Times New Roman"/>
                <w:color w:val="000000"/>
              </w:rPr>
              <w:t>vertikalno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D4D47">
              <w:rPr>
                <w:rFonts w:ascii="Times New Roman" w:hAnsi="Times New Roman" w:cs="Times New Roman"/>
                <w:color w:val="000000"/>
              </w:rPr>
              <w:t>oblik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kupe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sa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uglom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od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60°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3 m </w:t>
            </w:r>
            <w:r w:rsidR="00FD4D47">
              <w:rPr>
                <w:rFonts w:ascii="Times New Roman" w:hAnsi="Times New Roman" w:cs="Times New Roman"/>
                <w:color w:val="000000"/>
              </w:rPr>
              <w:t>u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radijusu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od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krajeva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odušnih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cevovoda</w:t>
            </w:r>
          </w:p>
        </w:tc>
      </w:tr>
    </w:tbl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prozori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postavljene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trećini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2%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svežeg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vazduha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trećini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6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otvaranje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VIII. </w:t>
      </w:r>
      <w:r w:rsidR="00FD4D47">
        <w:rPr>
          <w:rFonts w:ascii="Times New Roman" w:hAnsi="Times New Roman" w:cs="Times New Roman"/>
          <w:color w:val="000000"/>
        </w:rPr>
        <w:t>ELEKTRIČNE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INSTALACIJE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elektroenergetsko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visokog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napona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podložni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smestiti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odvojena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pregradama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90 min,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30 min.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elektroenergetsko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transformatorima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pojedinačnih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nazivnih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1.600 kVA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elektroenergetsko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postrojenje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transformatorima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efikasne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pojave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24.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redovnog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distributivne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sigurnosne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rasveta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evakuacionih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puteva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stepeništa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hodnici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natpisi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bržu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evakuaciju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2) </w:t>
      </w:r>
      <w:r w:rsidR="00FD4D47">
        <w:rPr>
          <w:rFonts w:ascii="Times New Roman" w:hAnsi="Times New Roman" w:cs="Times New Roman"/>
          <w:color w:val="000000"/>
        </w:rPr>
        <w:t>uređaja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podizanje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pritiska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hidrantskoj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mreži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ukoliko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posebnim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propisom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drugačije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uređeno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instalacija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nastalih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instalacija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uređaja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automatsko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otkrivanje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dojavu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</w:t>
      </w:r>
      <w:r w:rsidR="00FD4D47">
        <w:rPr>
          <w:rFonts w:ascii="Times New Roman" w:hAnsi="Times New Roman" w:cs="Times New Roman"/>
          <w:color w:val="000000"/>
        </w:rPr>
        <w:t>instalacija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uređaja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gašenje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Napajanje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navedenih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30 min.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Rezervni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snabdevanje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24.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međuspratna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navedenih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30 min.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Rezervni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automatski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uključivati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Prostorija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provetravati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eksplozivnim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atmosferama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26.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Osvetljenje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znakova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usmeravanje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osvetljenje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evakuacionih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hitnim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standarda</w:t>
      </w:r>
      <w:r w:rsidR="0052172E" w:rsidRPr="009A5D42">
        <w:rPr>
          <w:rFonts w:ascii="Times New Roman" w:hAnsi="Times New Roman" w:cs="Times New Roman"/>
          <w:color w:val="000000"/>
        </w:rPr>
        <w:t xml:space="preserve"> SRPS EN 1838, SRPS EN 60598-2-22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SRPS EN 50172,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27.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Električni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razvod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instalacija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funkcionišu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režimu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električnom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energijom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periodu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definisan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30 min.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IX. </w:t>
      </w:r>
      <w:r w:rsidR="00FD4D47">
        <w:rPr>
          <w:rFonts w:ascii="Times New Roman" w:hAnsi="Times New Roman" w:cs="Times New Roman"/>
          <w:color w:val="000000"/>
        </w:rPr>
        <w:t>LIFTOVI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28.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Pogon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hidrauličnog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lifta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teretnih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platformi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sprečava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isticanje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izvođenjem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ugradnjom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rešenjem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celokupna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količina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izlivanja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isticanja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X. </w:t>
      </w:r>
      <w:r w:rsidR="00FD4D47">
        <w:rPr>
          <w:rFonts w:ascii="Times New Roman" w:hAnsi="Times New Roman" w:cs="Times New Roman"/>
          <w:color w:val="000000"/>
        </w:rPr>
        <w:t>POSEBNI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SISTEMI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MERE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29.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propisom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hidrantskom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mrežom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150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100 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industrijskim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tehnološkog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procesa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mobilnih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proizvođača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opreme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2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XI. </w:t>
      </w:r>
      <w:r w:rsidR="00FD4D47">
        <w:rPr>
          <w:rFonts w:ascii="Times New Roman" w:hAnsi="Times New Roman" w:cs="Times New Roman"/>
          <w:color w:val="000000"/>
        </w:rPr>
        <w:t>PRORAČUNSKO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POTREBNE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erft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različitih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scenarija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dokazivanja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Građevinske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razdvajanje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nosivosti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prosečnog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prosečnih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ventilacije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odredi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Klase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bezbednosti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Pojedinačni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svrstavaju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SKb3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SKb1</w:t>
      </w:r>
      <w:r w:rsidR="0052172E" w:rsidRPr="009A5D42">
        <w:rPr>
          <w:rFonts w:ascii="Times New Roman" w:hAnsi="Times New Roman" w:cs="Times New Roman"/>
          <w:color w:val="000000"/>
        </w:rPr>
        <w:t>):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Klasa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bezbednosti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SKb3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Građevinski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visoki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zidovi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međuspratne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odvajaju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sektore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noseći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ukrućenje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čije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otkazivanje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dovede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urušavanja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noseće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noseći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celokupne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)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Klasa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bezbednosti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SKb2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Građevinski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srednji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građevinski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čije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otkazivanje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dovede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urušavanja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noseće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noseći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celokupne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)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što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neukrućene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tavanice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građevinski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noseće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čije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otkazivanje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dovede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urušavanja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ostalog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lastRenderedPageBreak/>
        <w:t xml:space="preserve">3) </w:t>
      </w:r>
      <w:r w:rsidR="00FD4D47">
        <w:rPr>
          <w:rFonts w:ascii="Times New Roman" w:hAnsi="Times New Roman" w:cs="Times New Roman"/>
          <w:color w:val="000000"/>
        </w:rPr>
        <w:t>vrata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slični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zatvaranje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pregradnim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definisani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zahtevi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pogledu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nenoseći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zid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koga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mogućnost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dejstva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</w:t>
      </w:r>
      <w:r w:rsidR="00FD4D47">
        <w:rPr>
          <w:rFonts w:ascii="Times New Roman" w:hAnsi="Times New Roman" w:cs="Times New Roman"/>
          <w:color w:val="000000"/>
        </w:rPr>
        <w:t>krovni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pokrivač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koga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mogućnost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dejstva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Klasa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bezbednosti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SKb1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Građevinski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građevinski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noseće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ukoliko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otkazivanje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dovodi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urušavanja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ostalog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Razvrstavanje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odvojen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preostalog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izdvojenom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Razvrstavanje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unutrašnji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nenoseći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pregradni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krovni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pokrivač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krovni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paneli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nenoseći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spolja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neophodno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okviru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dokazivanja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Podaci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potrebni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proračun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nosećih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razdvajanje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podaci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namena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delova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odnosno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proizvodnog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skladištenje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saobraćajne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slobodne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sporedne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struktura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objekta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granične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vrsta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raspored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broj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dimenzije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položaj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sektorima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skladištenja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robe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masa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energetska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svojstvo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gorenja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potiče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nezaštićenih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zatvorenim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sistemima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veličine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utiču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izračunavanje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ekvivalentnog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toplotno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prigušenje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graničnih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svojstvo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prodiranja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otvori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vrsta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položaj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veličina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</w:t>
      </w:r>
      <w:r w:rsidR="00FD4D47">
        <w:rPr>
          <w:rFonts w:ascii="Times New Roman" w:hAnsi="Times New Roman" w:cs="Times New Roman"/>
          <w:color w:val="000000"/>
        </w:rPr>
        <w:t>druge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veličine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uticaja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izračunavanje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proračunski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potrebne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vatrogasna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jedinica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stabilni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sistemi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dojavu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gašenje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</w:t>
      </w:r>
      <w:r w:rsidRPr="009A5D42">
        <w:rPr>
          <w:rFonts w:ascii="Times New Roman" w:hAnsi="Times New Roman" w:cs="Times New Roman"/>
          <w:color w:val="000000"/>
        </w:rPr>
        <w:t>.).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34.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erft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izražena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minutima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jednačinom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1041400" cy="292100"/>
            <wp:effectExtent l="0" t="0" r="0" b="0"/>
            <wp:docPr id="1" name="" descr="pravilnik-industrijski-pozar_Page_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t</w:t>
      </w:r>
      <w:r w:rsidR="00FD4D47">
        <w:rPr>
          <w:rFonts w:ascii="Times New Roman" w:hAnsi="Times New Roman" w:cs="Times New Roman"/>
          <w:color w:val="000000"/>
          <w:vertAlign w:val="subscript"/>
        </w:rPr>
        <w:t>a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[min];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lastRenderedPageBreak/>
        <w:t>γ –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sigurnosna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dopunska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određene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klase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bezbednosti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3, 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SK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i/>
          <w:color w:val="000000"/>
        </w:rPr>
        <w:t>1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Pr="009A5D42">
        <w:rPr>
          <w:rFonts w:ascii="Times New Roman" w:hAnsi="Times New Roman" w:cs="Times New Roman"/>
          <w:i/>
          <w:color w:val="000000"/>
        </w:rPr>
        <w:t>–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dodatna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ograničavanje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širenja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osnovu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tehničke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zaštite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izraženo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minutima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jednačinom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850900" cy="241300"/>
            <wp:effectExtent l="0" t="0" r="0" b="0"/>
            <wp:docPr id="2" name="" descr="pravilnik-industrijski-pozar_Page_0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proračunsko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 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c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preračunavanja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[min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/kWh] </w:t>
      </w:r>
      <w:r w:rsidR="00FD4D47">
        <w:rPr>
          <w:rFonts w:ascii="Times New Roman" w:hAnsi="Times New Roman" w:cs="Times New Roman"/>
          <w:color w:val="000000"/>
        </w:rPr>
        <w:t>dobija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</w:t>
      </w:r>
      <w:r w:rsidRPr="009A5D42">
        <w:rPr>
          <w:rFonts w:ascii="Times New Roman" w:hAnsi="Times New Roman" w:cs="Times New Roman"/>
          <w:color w:val="000000"/>
        </w:rPr>
        <w:t xml:space="preserve"> T</w:t>
      </w:r>
      <w:r w:rsidR="00FD4D47">
        <w:rPr>
          <w:rFonts w:ascii="Times New Roman" w:hAnsi="Times New Roman" w:cs="Times New Roman"/>
          <w:color w:val="000000"/>
        </w:rPr>
        <w:t>abele</w:t>
      </w:r>
      <w:r w:rsidRPr="009A5D42">
        <w:rPr>
          <w:rFonts w:ascii="Times New Roman" w:hAnsi="Times New Roman" w:cs="Times New Roman"/>
          <w:color w:val="000000"/>
        </w:rPr>
        <w:t xml:space="preserve"> 2. </w:t>
      </w:r>
      <w:r w:rsidR="00FD4D47">
        <w:rPr>
          <w:rFonts w:ascii="Times New Roman" w:hAnsi="Times New Roman" w:cs="Times New Roman"/>
          <w:color w:val="000000"/>
        </w:rPr>
        <w:t>Preko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ovog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faktora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uticaj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svojstava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provođenja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graničnih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zidovi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međuspratne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tavanice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stakla</w:t>
      </w:r>
      <w:r w:rsidRPr="009A5D42">
        <w:rPr>
          <w:rFonts w:ascii="Times New Roman" w:hAnsi="Times New Roman" w:cs="Times New Roman"/>
          <w:color w:val="000000"/>
        </w:rPr>
        <w:t>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bezdimenzionalna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korektivna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uticaj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otvorenih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mogu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nastale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slučaju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Ocenjuje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dovesti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rasterećenja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temperature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Pri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tome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bitne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faktore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uticaja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predstavljaju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efikasne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zidovima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krovu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merodavna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36.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udeo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nizu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pretpostavljenog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i-1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1828800" cy="254000"/>
            <wp:effectExtent l="0" t="0" r="0" b="0"/>
            <wp:docPr id="3" name="" descr="pravilnik-industrijski-pozar_Page_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</w:t>
      </w:r>
      <w:r w:rsidRPr="009A5D42">
        <w:rPr>
          <w:rFonts w:ascii="Times New Roman" w:hAnsi="Times New Roman" w:cs="Times New Roman"/>
          <w:color w:val="000000"/>
        </w:rPr>
        <w:t xml:space="preserve">i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[min];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c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preračunavanja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[min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/kWh]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uticaj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svojstava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provođenja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graničnih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i;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proračunsko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proračunsko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i-1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izraženo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β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bezdimenzioni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srazmerno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razmatranje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proračunskog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R,i-1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i.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Bez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β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="0052172E" w:rsidRPr="009A5D42">
        <w:rPr>
          <w:rFonts w:ascii="Times New Roman" w:hAnsi="Times New Roman" w:cs="Times New Roman"/>
          <w:i/>
          <w:color w:val="000000"/>
        </w:rPr>
        <w:t>=</w:t>
      </w:r>
      <w:r w:rsidR="0052172E" w:rsidRPr="009A5D42">
        <w:rPr>
          <w:rFonts w:ascii="Times New Roman" w:hAnsi="Times New Roman" w:cs="Times New Roman"/>
          <w:color w:val="000000"/>
        </w:rPr>
        <w:t xml:space="preserve"> 0,3.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je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>&lt;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a,Ei-1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37.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=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a,Ei-1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37.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najvišoj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pravilo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zbir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tavanici</w:t>
      </w:r>
      <w:r w:rsidRPr="009A5D42">
        <w:rPr>
          <w:rFonts w:ascii="Times New Roman" w:hAnsi="Times New Roman" w:cs="Times New Roman"/>
          <w:color w:val="000000"/>
        </w:rPr>
        <w:t xml:space="preserve"> ≤ 2%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ukupne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tada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merodavno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samo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dotičnu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ako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zbir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etaži</w:t>
      </w:r>
      <w:r w:rsidRPr="009A5D42">
        <w:rPr>
          <w:rFonts w:ascii="Times New Roman" w:hAnsi="Times New Roman" w:cs="Times New Roman"/>
          <w:color w:val="000000"/>
        </w:rPr>
        <w:t xml:space="preserve"> ≥ 20%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ukupne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tada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merodavno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iznad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kod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između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graničnih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navedenih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tač</w:t>
      </w:r>
      <w:r w:rsidRPr="009A5D42">
        <w:rPr>
          <w:rFonts w:ascii="Times New Roman" w:hAnsi="Times New Roman" w:cs="Times New Roman"/>
          <w:color w:val="000000"/>
        </w:rPr>
        <w:t xml:space="preserve">. 1)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2) </w:t>
      </w:r>
      <w:r w:rsidR="00FD4D47">
        <w:rPr>
          <w:rFonts w:ascii="Times New Roman" w:hAnsi="Times New Roman" w:cs="Times New Roman"/>
          <w:color w:val="000000"/>
        </w:rPr>
        <w:t>ovog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člana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iznad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izračunava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linearnom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interpolacijom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kod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&gt; 20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iznad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merodavno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ekvivalentno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trajanje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t</w:t>
      </w:r>
      <w:r w:rsidRPr="009A5D42">
        <w:rPr>
          <w:rFonts w:ascii="Times New Roman" w:hAnsi="Times New Roman" w:cs="Times New Roman"/>
          <w:color w:val="000000"/>
          <w:vertAlign w:val="subscript"/>
        </w:rPr>
        <w:t>a,Ei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38.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izraženo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[kWh/m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sistemima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R,g</w:t>
      </w:r>
      <w:r w:rsidR="0052172E" w:rsidRPr="009A5D42">
        <w:rPr>
          <w:rFonts w:ascii="Times New Roman" w:hAnsi="Times New Roman" w:cs="Times New Roman"/>
          <w:color w:val="000000"/>
        </w:rPr>
        <w:t>):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952500" cy="215900"/>
            <wp:effectExtent l="0" t="0" r="0" b="0"/>
            <wp:docPr id="4" name="" descr="pravilnik-industrijski-pozar_Page_0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Usvaja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="0052172E" w:rsidRPr="009A5D42">
        <w:rPr>
          <w:rFonts w:ascii="Times New Roman" w:hAnsi="Times New Roman" w:cs="Times New Roman"/>
          <w:color w:val="000000"/>
        </w:rPr>
        <w:t xml:space="preserve"> = 15 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="0052172E" w:rsidRPr="009A5D42">
        <w:rPr>
          <w:rFonts w:ascii="Times New Roman" w:hAnsi="Times New Roman" w:cs="Times New Roman"/>
          <w:color w:val="000000"/>
        </w:rPr>
        <w:t xml:space="preserve"> [kWh/m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nezaštićenih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1447800" cy="469900"/>
            <wp:effectExtent l="0" t="0" r="0" b="0"/>
            <wp:docPr id="5" name="" descr="pravilnik-industrijski-pozar_Page_0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masa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nezaštićenog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energetska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[kWh/kg];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sagorevanja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nezaštićenim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podrazumevaju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pogonski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pakovanja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uključujući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pokrivke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određeno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R,g</w:t>
      </w:r>
      <w:r w:rsidR="0052172E" w:rsidRPr="009A5D42">
        <w:rPr>
          <w:rFonts w:ascii="Times New Roman" w:hAnsi="Times New Roman" w:cs="Times New Roman"/>
          <w:color w:val="000000"/>
        </w:rPr>
        <w:t xml:space="preserve"> [kWh/m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] </w:t>
      </w:r>
      <w:r>
        <w:rPr>
          <w:rFonts w:ascii="Times New Roman" w:hAnsi="Times New Roman" w:cs="Times New Roman"/>
          <w:color w:val="000000"/>
        </w:rPr>
        <w:t>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1727200" cy="482600"/>
            <wp:effectExtent l="0" t="0" r="0" b="0"/>
            <wp:docPr id="6" name="" descr="pravilnik-industrijski-pozar_Page_0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lastRenderedPageBreak/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masa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zaštićenog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energetska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[kWh/kg];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m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sagorevanja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kombinovana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dopunska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vrednost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podrazumevaju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zatvorenim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sistemima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cevovodima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rezervoarima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čeličnog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sličnih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karakteristika</w:t>
      </w:r>
      <w:r w:rsidR="0052172E" w:rsidRPr="009A5D42">
        <w:rPr>
          <w:rFonts w:ascii="Times New Roman" w:hAnsi="Times New Roman" w:cs="Times New Roman"/>
          <w:color w:val="000000"/>
        </w:rPr>
        <w:t>).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materijali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obrađuju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skladište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takvom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stanju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očekivanom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dejstvu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isključeno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njihovo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gorenje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gorivi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stalno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mokrom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stanju</w:t>
      </w:r>
      <w:r w:rsidRPr="009A5D42">
        <w:rPr>
          <w:rFonts w:ascii="Times New Roman" w:hAnsi="Times New Roman" w:cs="Times New Roman"/>
          <w:color w:val="000000"/>
        </w:rPr>
        <w:t>);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gorivi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sastavni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delovi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pri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čemu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pomoću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međusloja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omotača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osigurava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delovi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vreme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odgovara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proračunskoj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potrebnoj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doprinose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građevinski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elementi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noseće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načinjeni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unutar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efikasno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razdvojeni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preostalog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međuspratnom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konstrukcijom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tavanicom</w:t>
      </w:r>
      <w:r w:rsidRPr="009A5D42">
        <w:rPr>
          <w:rFonts w:ascii="Times New Roman" w:hAnsi="Times New Roman" w:cs="Times New Roman"/>
          <w:color w:val="000000"/>
        </w:rPr>
        <w:t xml:space="preserve">),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sačinjen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građevinskih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dimenzionisanih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najmanje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klasu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bezbednosti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SKb3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gasna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pogonska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sredstva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cevovodima</w:t>
      </w:r>
      <w:r w:rsidRPr="009A5D42">
        <w:rPr>
          <w:rFonts w:ascii="Times New Roman" w:hAnsi="Times New Roman" w:cs="Times New Roman"/>
          <w:color w:val="000000"/>
        </w:rPr>
        <w:t xml:space="preserve"> (</w:t>
      </w:r>
      <w:r w:rsidR="00FD4D47">
        <w:rPr>
          <w:rFonts w:ascii="Times New Roman" w:hAnsi="Times New Roman" w:cs="Times New Roman"/>
          <w:color w:val="000000"/>
        </w:rPr>
        <w:t>npr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čelika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svojstava</w:t>
      </w:r>
      <w:r w:rsidRPr="009A5D42">
        <w:rPr>
          <w:rFonts w:ascii="Times New Roman" w:hAnsi="Times New Roman" w:cs="Times New Roman"/>
          <w:color w:val="000000"/>
        </w:rPr>
        <w:t xml:space="preserve">), </w:t>
      </w:r>
      <w:r w:rsidR="00FD4D47">
        <w:rPr>
          <w:rFonts w:ascii="Times New Roman" w:hAnsi="Times New Roman" w:cs="Times New Roman"/>
          <w:color w:val="000000"/>
        </w:rPr>
        <w:t>ukoliko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ostalom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nije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prekoračeno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minimalno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proračunsko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stava</w:t>
      </w:r>
      <w:r w:rsidRPr="009A5D42">
        <w:rPr>
          <w:rFonts w:ascii="Times New Roman" w:hAnsi="Times New Roman" w:cs="Times New Roman"/>
          <w:color w:val="000000"/>
        </w:rPr>
        <w:t xml:space="preserve"> 2. </w:t>
      </w:r>
      <w:r w:rsidR="00FD4D47">
        <w:rPr>
          <w:rFonts w:ascii="Times New Roman" w:hAnsi="Times New Roman" w:cs="Times New Roman"/>
          <w:color w:val="000000"/>
        </w:rPr>
        <w:t>ovog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člana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</w:t>
      </w:r>
      <w:r w:rsidR="00FD4D47">
        <w:rPr>
          <w:rFonts w:ascii="Times New Roman" w:hAnsi="Times New Roman" w:cs="Times New Roman"/>
          <w:color w:val="000000"/>
        </w:rPr>
        <w:t>električni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kablovi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provodnici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uključujući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kablovske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uvodnice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rasklopnim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blokovima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električnih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instalacija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izrađeni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negorivih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materijala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rešetkastim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limenim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platformama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dimenzioniše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dodaje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ispod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uračunava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umesto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  <w:vertAlign w:val="subscript"/>
        </w:rPr>
        <w:t>E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39.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sagorevanja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množi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uvažavanje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vrsti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obliku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raspodeli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sagorevanja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energetska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pojedinačnog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ui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gorivi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gustine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visine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skladištenja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vlažnosti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abeli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odštampana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Usvajanje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sagorevanja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m</w:t>
      </w:r>
      <w:r w:rsidR="0052172E" w:rsidRPr="009A5D42">
        <w:rPr>
          <w:rFonts w:ascii="Times New Roman" w:hAnsi="Times New Roman" w:cs="Times New Roman"/>
          <w:color w:val="000000"/>
        </w:rPr>
        <w:t xml:space="preserve">&lt; 0,2 </w:t>
      </w:r>
      <w:r>
        <w:rPr>
          <w:rFonts w:ascii="Times New Roman" w:hAnsi="Times New Roman" w:cs="Times New Roman"/>
          <w:color w:val="000000"/>
        </w:rPr>
        <w:t>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dozvoljeno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kombinovane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dopunske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ψ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uzajamno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Najnepovoljnije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zaštićeno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ocenjuje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kombinovanom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dopunskom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ψ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Kombinovana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ψ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pojednostavljeno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usvojiti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rezervoar</w:t>
      </w:r>
      <w:r w:rsidRPr="009A5D42">
        <w:rPr>
          <w:rFonts w:ascii="Times New Roman" w:hAnsi="Times New Roman" w:cs="Times New Roman"/>
          <w:color w:val="000000"/>
        </w:rPr>
        <w:t>/</w:t>
      </w:r>
      <w:r w:rsidR="00FD4D47">
        <w:rPr>
          <w:rFonts w:ascii="Times New Roman" w:hAnsi="Times New Roman" w:cs="Times New Roman"/>
          <w:color w:val="000000"/>
        </w:rPr>
        <w:t>sistem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najvećim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0,8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rezervoare</w:t>
      </w:r>
      <w:r w:rsidRPr="009A5D42">
        <w:rPr>
          <w:rFonts w:ascii="Times New Roman" w:hAnsi="Times New Roman" w:cs="Times New Roman"/>
          <w:color w:val="000000"/>
        </w:rPr>
        <w:t>/</w:t>
      </w:r>
      <w:r w:rsidR="00FD4D47">
        <w:rPr>
          <w:rFonts w:ascii="Times New Roman" w:hAnsi="Times New Roman" w:cs="Times New Roman"/>
          <w:color w:val="000000"/>
        </w:rPr>
        <w:t>sisteme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0,55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tečnosti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52172E" w:rsidRPr="009A5D42">
        <w:rPr>
          <w:rFonts w:ascii="Times New Roman" w:hAnsi="Times New Roman" w:cs="Times New Roman"/>
          <w:color w:val="000000"/>
        </w:rPr>
        <w:t xml:space="preserve"> &gt;100°C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hidraulična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podmazivanje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mašinama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alatnim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mašinama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presama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motorima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kompresorima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zagrevaju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paljenja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nezaštićeno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="0052172E" w:rsidRPr="009A5D42">
        <w:rPr>
          <w:rFonts w:ascii="Times New Roman" w:hAnsi="Times New Roman" w:cs="Times New Roman"/>
          <w:color w:val="000000"/>
        </w:rPr>
        <w:t xml:space="preserve"> ≤ 45 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usvojiti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rezervoar</w:t>
      </w:r>
      <w:r w:rsidRPr="009A5D42">
        <w:rPr>
          <w:rFonts w:ascii="Times New Roman" w:hAnsi="Times New Roman" w:cs="Times New Roman"/>
          <w:color w:val="000000"/>
        </w:rPr>
        <w:t>/</w:t>
      </w:r>
      <w:r w:rsidR="00FD4D47">
        <w:rPr>
          <w:rFonts w:ascii="Times New Roman" w:hAnsi="Times New Roman" w:cs="Times New Roman"/>
          <w:color w:val="000000"/>
        </w:rPr>
        <w:t>sistem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najvećim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opterećenjem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0,8;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sve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druge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rezervoare</w:t>
      </w:r>
      <w:r w:rsidRPr="009A5D42">
        <w:rPr>
          <w:rFonts w:ascii="Times New Roman" w:hAnsi="Times New Roman" w:cs="Times New Roman"/>
          <w:color w:val="000000"/>
        </w:rPr>
        <w:t>/</w:t>
      </w:r>
      <w:r w:rsidR="00FD4D47">
        <w:rPr>
          <w:rFonts w:ascii="Times New Roman" w:hAnsi="Times New Roman" w:cs="Times New Roman"/>
          <w:color w:val="000000"/>
        </w:rPr>
        <w:t>sisteme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ψ</w:t>
      </w:r>
      <w:r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= 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nezaštićeno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q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R,u</w:t>
      </w:r>
      <w:r w:rsidR="0052172E" w:rsidRPr="009A5D42">
        <w:rPr>
          <w:rFonts w:ascii="Times New Roman" w:hAnsi="Times New Roman" w:cs="Times New Roman"/>
          <w:color w:val="000000"/>
        </w:rPr>
        <w:t>&gt; 45 kWh/m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usvaja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ψ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= 1.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41.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preračunavanja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b/>
          <w:color w:val="000000"/>
        </w:rPr>
        <w:t>(</w:t>
      </w:r>
      <w:r w:rsidR="0052172E" w:rsidRPr="009A5D42">
        <w:rPr>
          <w:rFonts w:ascii="Times New Roman" w:hAnsi="Times New Roman" w:cs="Times New Roman"/>
          <w:i/>
          <w:color w:val="000000"/>
        </w:rPr>
        <w:t>c</w:t>
      </w:r>
      <w:r w:rsidR="0052172E" w:rsidRPr="009A5D42">
        <w:rPr>
          <w:rFonts w:ascii="Times New Roman" w:hAnsi="Times New Roman" w:cs="Times New Roman"/>
          <w:b/>
          <w:color w:val="000000"/>
        </w:rPr>
        <w:t>)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izražen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[min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/kWh] </w:t>
      </w:r>
      <w:r>
        <w:rPr>
          <w:rFonts w:ascii="Times New Roman" w:hAnsi="Times New Roman" w:cs="Times New Roman"/>
          <w:color w:val="000000"/>
        </w:rPr>
        <w:t>dat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Tabeli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graničnih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52172E" w:rsidRPr="009A5D42">
        <w:rPr>
          <w:rFonts w:ascii="Times New Roman" w:hAnsi="Times New Roman" w:cs="Times New Roman"/>
          <w:color w:val="000000"/>
        </w:rPr>
        <w:t xml:space="preserve"> 2.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693"/>
        <w:gridCol w:w="2435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FAKTOR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PRERAČUNAVANjA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c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c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[min 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/kWh]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Grupa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uticaja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graničnih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građevinskih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konstrukcija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1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Granične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provođenju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toplote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slučaju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klasifikuju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sledeći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način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Grupa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uticaja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građevinski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velikim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stepenom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provođenja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toplote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što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staklo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aluminijum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čelik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Grupa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uticaja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II: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građevinski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srednjim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stepenom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provođenja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toplote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što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beton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beton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zapreminskom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masom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&gt; 1000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npr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silikatna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opeka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malterom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građevinska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opeka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Grupa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uticaja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III: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građevinski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malim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stepenom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provođenja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toplote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što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građevinski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zapreminskom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masom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1.000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npr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građevinski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izolaciju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porozni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beton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drvo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ploče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laki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beton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izolacioni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malter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višeslojne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građevinske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Ukoliko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apsorpciono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dejstvo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graničnih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razvoju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potpuno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razvijenom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izgubi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usled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razaranja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može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usvojiti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172E" w:rsidRPr="009A5D42">
              <w:rPr>
                <w:rFonts w:ascii="Times New Roman" w:hAnsi="Times New Roman" w:cs="Times New Roman"/>
                <w:i/>
                <w:color w:val="000000"/>
              </w:rPr>
              <w:t>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= 0,15.</w:t>
            </w:r>
          </w:p>
        </w:tc>
      </w:tr>
    </w:tbl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42.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je </w:t>
      </w:r>
      <w:r>
        <w:rPr>
          <w:rFonts w:ascii="Times New Roman" w:hAnsi="Times New Roman" w:cs="Times New Roman"/>
          <w:color w:val="000000"/>
        </w:rPr>
        <w:t>bezdimenzionalna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korektivna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nastale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Ocenjuje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rasterećenja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temperature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efikasne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zidovima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obezbedilo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dovoljno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ulaznog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vazduha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predvide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polovini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makar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6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izvedeni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vatrogasne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intervencije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otvoriti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grafički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izračunatih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&lt; 0,5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= 0,5.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vertikalnih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bscript"/>
        </w:rPr>
        <w:t>E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obračunavaju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članu</w:t>
      </w:r>
      <w:r w:rsidR="0052172E" w:rsidRPr="009A5D42">
        <w:rPr>
          <w:rFonts w:ascii="Times New Roman" w:hAnsi="Times New Roman" w:cs="Times New Roman"/>
          <w:color w:val="000000"/>
        </w:rPr>
        <w:t xml:space="preserve"> 44.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52172E" w:rsidRPr="009A5D42">
        <w:rPr>
          <w:rFonts w:ascii="Times New Roman" w:hAnsi="Times New Roman" w:cs="Times New Roman"/>
          <w:color w:val="000000"/>
        </w:rPr>
        <w:t xml:space="preserve">. 45.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46.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plafonima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odozdo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Međutim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plafonima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odozdo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povećavaju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43.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zidovima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stalno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postoje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vode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slobodan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kao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tavanicama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okviru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dokaza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minimalnom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veličinom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pojedinačnog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slobodnog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1 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opremljene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uređajima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automatski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otvaraju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slučaju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dejstva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SRPS EN 12101-2;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3)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vrata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ventilacionih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vode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slobodan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strane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mogu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bez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primene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sile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ukoliko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obezbeđeno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otvaranje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4)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staklom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koje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potpunosti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delimično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razara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5)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pokriveni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materijalima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ili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zatvoreni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slučaju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razaraju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periodu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najviše</w:t>
      </w:r>
      <w:r w:rsidRPr="009A5D42">
        <w:rPr>
          <w:rFonts w:ascii="Times New Roman" w:hAnsi="Times New Roman" w:cs="Times New Roman"/>
          <w:color w:val="000000"/>
        </w:rPr>
        <w:t xml:space="preserve"> 15 min.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Stakla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uništavanje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očekuje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staklo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blindirano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staklo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armirano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staklo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sigurnosno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staklo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2172E" w:rsidRPr="009A5D42">
        <w:rPr>
          <w:rFonts w:ascii="Times New Roman" w:hAnsi="Times New Roman" w:cs="Times New Roman"/>
          <w:color w:val="000000"/>
        </w:rPr>
        <w:t xml:space="preserve">.),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uračunavati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44.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571500" cy="774700"/>
            <wp:effectExtent l="0" t="0" r="0" b="0"/>
            <wp:docPr id="7" name="" descr="pravilnik-industrijski-pozar_Page_0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vertikalnih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zidovima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horizontalnih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krovu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tj</w:t>
      </w:r>
      <w:r w:rsidRPr="009A5D42">
        <w:rPr>
          <w:rFonts w:ascii="Times New Roman" w:hAnsi="Times New Roman" w:cs="Times New Roman"/>
          <w:color w:val="000000"/>
        </w:rPr>
        <w:t xml:space="preserve">. </w:t>
      </w:r>
      <w:r w:rsidR="00FD4D47">
        <w:rPr>
          <w:rFonts w:ascii="Times New Roman" w:hAnsi="Times New Roman" w:cs="Times New Roman"/>
          <w:color w:val="000000"/>
        </w:rPr>
        <w:t>tavanici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jedne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];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i/>
          <w:color w:val="000000"/>
        </w:rPr>
        <w:t xml:space="preserve"> –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odgovarajućeg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="0052172E" w:rsidRPr="009A5D42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[m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>].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male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</w:t>
      </w:r>
      <w:r w:rsidR="0052172E" w:rsidRPr="009A5D42">
        <w:rPr>
          <w:rFonts w:ascii="Times New Roman" w:hAnsi="Times New Roman" w:cs="Times New Roman"/>
          <w:color w:val="000000"/>
        </w:rPr>
        <w:t xml:space="preserve"> ≤ 0,005) </w:t>
      </w:r>
      <w:r>
        <w:rPr>
          <w:rFonts w:ascii="Times New Roman" w:hAnsi="Times New Roman" w:cs="Times New Roman"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vertikalne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pretežno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889000" cy="228600"/>
            <wp:effectExtent l="0" t="0" r="0" b="0"/>
            <wp:docPr id="8" name="" descr="pravilnik-industrijski-pozar_Page_0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A</w:t>
      </w:r>
      <w:r w:rsidRPr="009A5D42">
        <w:rPr>
          <w:rFonts w:ascii="Times New Roman" w:hAnsi="Times New Roman" w:cs="Times New Roman"/>
          <w:color w:val="000000"/>
          <w:vertAlign w:val="subscript"/>
        </w:rPr>
        <w:t>v,ob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površina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vertikalnih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otvora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gornjoj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polovini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spoljnih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zidova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].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izračunava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1028700" cy="254000"/>
            <wp:effectExtent l="0" t="0" r="0" b="0"/>
            <wp:docPr id="9" name="" descr="pravilnik-industrijski-pozar_Page_0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w</w:t>
      </w:r>
      <w:r w:rsidR="00FD4D47">
        <w:rPr>
          <w:rFonts w:ascii="Times New Roman" w:hAnsi="Times New Roman" w:cs="Times New Roman"/>
          <w:color w:val="000000"/>
          <w:vertAlign w:val="subscript"/>
        </w:rPr>
        <w:t>o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uzimaju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horizontalne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vertikalne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površine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odvođenje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toplote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određuje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iz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grafika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Slika</w:t>
      </w:r>
      <w:r w:rsidRPr="009A5D42">
        <w:rPr>
          <w:rFonts w:ascii="Times New Roman" w:hAnsi="Times New Roman" w:cs="Times New Roman"/>
          <w:color w:val="000000"/>
        </w:rPr>
        <w:t xml:space="preserve"> 1.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α</w:t>
      </w:r>
      <w:r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faktor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kojim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uzima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obzir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srednja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h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određenog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i/>
          <w:color w:val="000000"/>
        </w:rPr>
        <w:t>h –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prosečna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određenog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požarnog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sektora</w:t>
      </w:r>
      <w:r w:rsidRPr="009A5D42">
        <w:rPr>
          <w:rFonts w:ascii="Times New Roman" w:hAnsi="Times New Roman" w:cs="Times New Roman"/>
          <w:color w:val="000000"/>
        </w:rPr>
        <w:t xml:space="preserve">, </w:t>
      </w:r>
      <w:r w:rsidR="00FD4D47">
        <w:rPr>
          <w:rFonts w:ascii="Times New Roman" w:hAnsi="Times New Roman" w:cs="Times New Roman"/>
          <w:color w:val="000000"/>
        </w:rPr>
        <w:t>odnosno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unutrašnja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visina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etaže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u</w:t>
      </w:r>
      <w:r w:rsidRPr="009A5D42">
        <w:rPr>
          <w:rFonts w:ascii="Times New Roman" w:hAnsi="Times New Roman" w:cs="Times New Roman"/>
          <w:color w:val="000000"/>
        </w:rPr>
        <w:t xml:space="preserve"> [m];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formule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grafika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Slika</w:t>
      </w:r>
      <w:r w:rsidR="0052172E" w:rsidRPr="009A5D42">
        <w:rPr>
          <w:rFonts w:ascii="Times New Roman" w:hAnsi="Times New Roman" w:cs="Times New Roman"/>
          <w:color w:val="000000"/>
        </w:rPr>
        <w:t xml:space="preserve"> 2: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800100" cy="393700"/>
            <wp:effectExtent l="0" t="0" r="0" b="0"/>
            <wp:docPr id="10" name="" descr="pravilnik-industrijski-pozar_Page_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bscript"/>
        </w:rPr>
        <w:t>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grafika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Slike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Slike</w:t>
      </w:r>
      <w:r w:rsidR="0052172E" w:rsidRPr="009A5D42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dozvoljena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interpolacija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lastRenderedPageBreak/>
        <w:drawing>
          <wp:inline distT="0" distB="0" distL="0" distR="0">
            <wp:extent cx="4610100" cy="4279900"/>
            <wp:effectExtent l="0" t="0" r="0" b="0"/>
            <wp:docPr id="11" name="" descr="pravilnik-industrijski-pozar_Page_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52172E">
      <w:pPr>
        <w:spacing w:after="150"/>
        <w:jc w:val="center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noProof/>
          <w:lang w:val="sr-Cyrl-CS" w:eastAsia="sr-Cyrl-CS"/>
        </w:rPr>
        <w:drawing>
          <wp:inline distT="0" distB="0" distL="0" distR="0">
            <wp:extent cx="5384800" cy="4152900"/>
            <wp:effectExtent l="0" t="0" r="0" b="0"/>
            <wp:docPr id="12" name="" descr="pravilnik-industrijski-pozar_Page_1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Višeetažni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požarni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sektori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otvorima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&lt; 20% </w:t>
      </w:r>
      <w:r>
        <w:rPr>
          <w:rFonts w:ascii="Times New Roman" w:hAnsi="Times New Roman" w:cs="Times New Roman"/>
          <w:b/>
          <w:color w:val="000000"/>
        </w:rPr>
        <w:t>na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tavanicama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krovu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45.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višeetažnih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predviđene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otvaranje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Ovaj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članu</w:t>
      </w:r>
      <w:r w:rsidR="0052172E" w:rsidRPr="009A5D42">
        <w:rPr>
          <w:rFonts w:ascii="Times New Roman" w:hAnsi="Times New Roman" w:cs="Times New Roman"/>
          <w:color w:val="000000"/>
        </w:rPr>
        <w:t xml:space="preserve"> 43. </w:t>
      </w:r>
      <w:r>
        <w:rPr>
          <w:rFonts w:ascii="Times New Roman" w:hAnsi="Times New Roman" w:cs="Times New Roman"/>
          <w:color w:val="000000"/>
        </w:rPr>
        <w:t>stav</w:t>
      </w:r>
      <w:r w:rsidR="0052172E" w:rsidRPr="009A5D42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tač</w:t>
      </w:r>
      <w:r w:rsidR="0052172E" w:rsidRPr="009A5D42">
        <w:rPr>
          <w:rFonts w:ascii="Times New Roman" w:hAnsi="Times New Roman" w:cs="Times New Roman"/>
          <w:color w:val="000000"/>
        </w:rPr>
        <w:t xml:space="preserve">. 1)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2)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konvekcijom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potrebno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pored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obezbediti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svežeg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vazduha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nezavisno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veličine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ležećem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položaju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veličine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2172E" w:rsidRPr="009A5D42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pomereno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ravnomerno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tavanica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zoni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Ravnomerno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raspoređenim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smatraju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postavljeni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400 m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jednačini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44.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iznad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i + 1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polovini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ravni</w:t>
      </w:r>
      <w:r w:rsidR="0052172E" w:rsidRPr="009A5D42">
        <w:rPr>
          <w:rFonts w:ascii="Times New Roman" w:hAnsi="Times New Roman" w:cs="Times New Roman"/>
          <w:color w:val="000000"/>
        </w:rPr>
        <w:t xml:space="preserve"> (</w:t>
      </w:r>
      <w:r w:rsidR="0052172E" w:rsidRPr="009A5D42">
        <w:rPr>
          <w:rFonts w:ascii="Times New Roman" w:hAnsi="Times New Roman" w:cs="Times New Roman"/>
          <w:i/>
          <w:color w:val="000000"/>
        </w:rPr>
        <w:t>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="0052172E" w:rsidRPr="009A5D42">
        <w:rPr>
          <w:rFonts w:ascii="Times New Roman" w:hAnsi="Times New Roman" w:cs="Times New Roman"/>
          <w:i/>
          <w:color w:val="000000"/>
        </w:rPr>
        <w:t>= 0,5 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w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ravni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povećati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25%.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0,5 &lt;</w:t>
      </w:r>
      <w:r w:rsidR="0052172E" w:rsidRPr="009A5D42">
        <w:rPr>
          <w:rFonts w:ascii="Times New Roman" w:hAnsi="Times New Roman" w:cs="Times New Roman"/>
          <w:i/>
          <w:color w:val="000000"/>
        </w:rPr>
        <w:t>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i+1</w:t>
      </w:r>
      <w:r w:rsidR="0052172E" w:rsidRPr="009A5D42">
        <w:rPr>
          <w:rFonts w:ascii="Times New Roman" w:hAnsi="Times New Roman" w:cs="Times New Roman"/>
          <w:i/>
          <w:color w:val="000000"/>
        </w:rPr>
        <w:t>/h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&lt; 1,0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interpoliše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ravnomerno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raspoređeni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prilikom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odvođenja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toplote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merodavna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horizontalnih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umanjuje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0,8, </w:t>
      </w:r>
      <w:r>
        <w:rPr>
          <w:rFonts w:ascii="Times New Roman" w:hAnsi="Times New Roman" w:cs="Times New Roman"/>
          <w:color w:val="000000"/>
        </w:rPr>
        <w:t>odnosno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vi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0,8 </w:t>
      </w:r>
      <w:r w:rsidR="0052172E" w:rsidRPr="009A5D42">
        <w:rPr>
          <w:rFonts w:ascii="Times New Roman" w:hAnsi="Times New Roman" w:cs="Times New Roman"/>
          <w:color w:val="000000"/>
          <w:vertAlign w:val="superscript"/>
        </w:rPr>
        <w:t>.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hi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relaciji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A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Ei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Višeetažni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požarni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sektori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otvorima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≥ 20% </w:t>
      </w:r>
      <w:r>
        <w:rPr>
          <w:rFonts w:ascii="Times New Roman" w:hAnsi="Times New Roman" w:cs="Times New Roman"/>
          <w:b/>
          <w:color w:val="000000"/>
        </w:rPr>
        <w:t>u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tavanicama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krovu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koji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se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nalaze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neposredno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jedan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iznad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drugog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46.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merodavna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određivanje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w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članu</w:t>
      </w:r>
      <w:r w:rsidR="0052172E" w:rsidRPr="009A5D42">
        <w:rPr>
          <w:rFonts w:ascii="Times New Roman" w:hAnsi="Times New Roman" w:cs="Times New Roman"/>
          <w:color w:val="000000"/>
        </w:rPr>
        <w:t xml:space="preserve"> 44.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ivice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međuspratne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klasifikovanu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pojedinu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etažu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jednoetažni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opterećenje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otvora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posmatraju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Visina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rastojanju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između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krova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47.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Sigurnosna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dopunska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γ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Tabele</w:t>
      </w:r>
      <w:r w:rsidR="0052172E" w:rsidRPr="009A5D42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SK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i/>
          <w:color w:val="000000"/>
        </w:rPr>
        <w:t>3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 w:rsidR="0052172E" w:rsidRPr="009A5D42">
        <w:rPr>
          <w:rFonts w:ascii="Times New Roman" w:hAnsi="Times New Roman" w:cs="Times New Roman"/>
          <w:i/>
          <w:color w:val="000000"/>
        </w:rPr>
        <w:t>SK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i/>
          <w:color w:val="000000"/>
        </w:rPr>
        <w:t>2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SK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b</w:t>
      </w:r>
      <w:r w:rsidR="0052172E" w:rsidRPr="009A5D42">
        <w:rPr>
          <w:rFonts w:ascii="Times New Roman" w:hAnsi="Times New Roman" w:cs="Times New Roman"/>
          <w:i/>
          <w:color w:val="000000"/>
        </w:rPr>
        <w:t>1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građevinske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Dopunska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navedenih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Tabeli</w:t>
      </w:r>
      <w:r w:rsidR="0052172E" w:rsidRPr="009A5D42">
        <w:rPr>
          <w:rFonts w:ascii="Times New Roman" w:hAnsi="Times New Roman" w:cs="Times New Roman"/>
          <w:color w:val="000000"/>
        </w:rPr>
        <w:t xml:space="preserve"> 3.,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linearnom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interpolacijom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Tabela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3.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62"/>
        <w:gridCol w:w="1211"/>
        <w:gridCol w:w="1211"/>
        <w:gridCol w:w="1211"/>
        <w:gridCol w:w="1211"/>
        <w:gridCol w:w="1211"/>
        <w:gridCol w:w="1211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SIGURNOSNA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DOPUNSKA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VREDNOST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52172E" w:rsidRPr="009A5D42">
              <w:rPr>
                <w:rFonts w:ascii="Times New Roman" w:hAnsi="Times New Roman" w:cs="Times New Roman"/>
                <w:i/>
                <w:color w:val="000000"/>
              </w:rPr>
              <w:t>γ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Površina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požarnog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sektora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[m</w:t>
            </w:r>
            <w:r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9A5D42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Objekat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jednom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etažom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Požarni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sektori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više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etaža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i/>
                <w:color w:val="000000"/>
              </w:rPr>
              <w:t>SK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≤ 2.500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120.000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48.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ograničavanje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širenja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infrastrukture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pogledu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npr</w:t>
      </w:r>
      <w:r w:rsidR="0052172E" w:rsidRPr="009A5D4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vatrogasne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automatskih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stabilnih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dojavu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gašenje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Dodatna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dobija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Tabeli</w:t>
      </w:r>
      <w:r w:rsidR="0052172E" w:rsidRPr="009A5D42">
        <w:rPr>
          <w:rFonts w:ascii="Times New Roman" w:hAnsi="Times New Roman" w:cs="Times New Roman"/>
          <w:color w:val="000000"/>
        </w:rPr>
        <w:t xml:space="preserve"> 4. </w:t>
      </w:r>
      <w:r>
        <w:rPr>
          <w:rFonts w:ascii="Times New Roman" w:hAnsi="Times New Roman" w:cs="Times New Roman"/>
          <w:color w:val="000000"/>
        </w:rPr>
        <w:t>kao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proizvod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brojeva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kolona</w:t>
      </w:r>
      <w:r w:rsidR="0052172E" w:rsidRPr="009A5D42">
        <w:rPr>
          <w:rFonts w:ascii="Times New Roman" w:hAnsi="Times New Roman" w:cs="Times New Roman"/>
          <w:color w:val="000000"/>
        </w:rPr>
        <w:t xml:space="preserve"> 1, 2 </w:t>
      </w:r>
      <w:r>
        <w:rPr>
          <w:rFonts w:ascii="Times New Roman" w:hAnsi="Times New Roman" w:cs="Times New Roman"/>
          <w:color w:val="000000"/>
        </w:rPr>
        <w:t>i</w:t>
      </w:r>
      <w:r w:rsidR="0052172E" w:rsidRPr="009A5D42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Ukoliko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kolone</w:t>
      </w:r>
      <w:r w:rsidR="0052172E" w:rsidRPr="009A5D42">
        <w:rPr>
          <w:rFonts w:ascii="Times New Roman" w:hAnsi="Times New Roman" w:cs="Times New Roman"/>
          <w:color w:val="000000"/>
        </w:rPr>
        <w:t xml:space="preserve"> 1 </w:t>
      </w:r>
      <w:r>
        <w:rPr>
          <w:rFonts w:ascii="Times New Roman" w:hAnsi="Times New Roman" w:cs="Times New Roman"/>
          <w:color w:val="000000"/>
        </w:rPr>
        <w:t>do</w:t>
      </w:r>
      <w:r w:rsidR="0052172E" w:rsidRPr="009A5D42">
        <w:rPr>
          <w:rFonts w:ascii="Times New Roman" w:hAnsi="Times New Roman" w:cs="Times New Roman"/>
          <w:color w:val="000000"/>
        </w:rPr>
        <w:t xml:space="preserve"> 3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uračunavaju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1,0.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52172E" w:rsidRPr="009A5D42">
        <w:rPr>
          <w:rFonts w:ascii="Times New Roman" w:hAnsi="Times New Roman" w:cs="Times New Roman"/>
          <w:color w:val="000000"/>
        </w:rPr>
        <w:t xml:space="preserve"> 4.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46"/>
        <w:gridCol w:w="2496"/>
        <w:gridCol w:w="2393"/>
        <w:gridCol w:w="2393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DODATNA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VREDNOST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α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Vatrogasna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jedinica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Sistemi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zaštite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Broj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vatrogasaca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Uticaj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vatrogasne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jedinice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Uticaj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stabilnih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sistema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dojavu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Uticaj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stabilnih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sistem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gašenje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požara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Numeričke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vrednosti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faktora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uticaja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3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Broj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vatrogasaca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mora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biti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ravnomerno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raspoređen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smenama</w:t>
            </w:r>
          </w:p>
        </w:tc>
      </w:tr>
    </w:tbl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ukupna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ocena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Tabele</w:t>
      </w:r>
      <w:r w:rsidR="0052172E" w:rsidRPr="009A5D42">
        <w:rPr>
          <w:rFonts w:ascii="Times New Roman" w:hAnsi="Times New Roman" w:cs="Times New Roman"/>
          <w:color w:val="000000"/>
        </w:rPr>
        <w:t xml:space="preserve"> 4.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="0052172E" w:rsidRPr="009A5D42">
        <w:rPr>
          <w:rFonts w:ascii="Times New Roman" w:hAnsi="Times New Roman" w:cs="Times New Roman"/>
          <w:color w:val="000000"/>
        </w:rPr>
        <w:t xml:space="preserve"> ≤ 0,85,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korektivna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vrednost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α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L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smanji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1) 80% </w:t>
      </w:r>
      <w:r w:rsidR="00FD4D47">
        <w:rPr>
          <w:rFonts w:ascii="Times New Roman" w:hAnsi="Times New Roman" w:cs="Times New Roman"/>
          <w:color w:val="000000"/>
        </w:rPr>
        <w:t>pri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≤ 45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 xml:space="preserve">2) 90% </w:t>
      </w:r>
      <w:r w:rsidR="00FD4D47">
        <w:rPr>
          <w:rFonts w:ascii="Times New Roman" w:hAnsi="Times New Roman" w:cs="Times New Roman"/>
          <w:color w:val="000000"/>
        </w:rPr>
        <w:t>pri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Pr="009A5D42">
        <w:rPr>
          <w:rFonts w:ascii="Times New Roman" w:hAnsi="Times New Roman" w:cs="Times New Roman"/>
          <w:i/>
          <w:color w:val="000000"/>
        </w:rPr>
        <w:t>q</w:t>
      </w:r>
      <w:r w:rsidRPr="009A5D42">
        <w:rPr>
          <w:rFonts w:ascii="Times New Roman" w:hAnsi="Times New Roman" w:cs="Times New Roman"/>
          <w:color w:val="000000"/>
          <w:vertAlign w:val="subscript"/>
        </w:rPr>
        <w:t>R</w:t>
      </w:r>
      <w:r w:rsidRPr="009A5D42">
        <w:rPr>
          <w:rFonts w:ascii="Times New Roman" w:hAnsi="Times New Roman" w:cs="Times New Roman"/>
          <w:color w:val="000000"/>
        </w:rPr>
        <w:t xml:space="preserve"> ≤ 100 kWh/m</w:t>
      </w:r>
      <w:r w:rsidRPr="009A5D42">
        <w:rPr>
          <w:rFonts w:ascii="Times New Roman" w:hAnsi="Times New Roman" w:cs="Times New Roman"/>
          <w:color w:val="000000"/>
          <w:vertAlign w:val="superscript"/>
        </w:rPr>
        <w:t>2</w:t>
      </w:r>
      <w:r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Klasifikacija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proračunske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potrebne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otpornosti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požar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49.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Proračunska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erft</w:t>
      </w:r>
      <w:r w:rsidR="0052172E"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klasifikuje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nazivnoj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2172E" w:rsidRPr="009A5D42">
        <w:rPr>
          <w:rFonts w:ascii="Times New Roman" w:hAnsi="Times New Roman" w:cs="Times New Roman"/>
          <w:color w:val="000000"/>
        </w:rPr>
        <w:t>: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1) 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15 min </w:t>
      </w:r>
      <w:r w:rsidR="00FD4D47">
        <w:rPr>
          <w:rFonts w:ascii="Times New Roman" w:hAnsi="Times New Roman" w:cs="Times New Roman"/>
          <w:color w:val="000000"/>
        </w:rPr>
        <w:t>bez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zahteva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za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>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2) 15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30 min </w:t>
      </w:r>
      <w:r w:rsidR="00FD4D47">
        <w:rPr>
          <w:rFonts w:ascii="Times New Roman" w:hAnsi="Times New Roman" w:cs="Times New Roman"/>
          <w:color w:val="000000"/>
        </w:rPr>
        <w:t>mala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klasa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30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3) 30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60 min </w:t>
      </w:r>
      <w:r w:rsidR="00FD4D47">
        <w:rPr>
          <w:rFonts w:ascii="Times New Roman" w:hAnsi="Times New Roman" w:cs="Times New Roman"/>
          <w:color w:val="000000"/>
        </w:rPr>
        <w:t>veća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prema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požaru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klasa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60 min;</w:t>
      </w:r>
    </w:p>
    <w:p w:rsidR="001A641A" w:rsidRPr="009A5D42" w:rsidRDefault="0052172E">
      <w:pPr>
        <w:spacing w:after="150"/>
        <w:rPr>
          <w:rFonts w:ascii="Times New Roman" w:hAnsi="Times New Roman" w:cs="Times New Roman"/>
        </w:rPr>
      </w:pPr>
      <w:r w:rsidRPr="009A5D42">
        <w:rPr>
          <w:rFonts w:ascii="Times New Roman" w:hAnsi="Times New Roman" w:cs="Times New Roman"/>
          <w:color w:val="000000"/>
        </w:rPr>
        <w:t>4) 60 &lt;</w:t>
      </w:r>
      <w:r w:rsidRPr="009A5D42">
        <w:rPr>
          <w:rFonts w:ascii="Times New Roman" w:hAnsi="Times New Roman" w:cs="Times New Roman"/>
          <w:i/>
          <w:color w:val="000000"/>
        </w:rPr>
        <w:t>erft</w:t>
      </w:r>
      <w:r w:rsidRPr="009A5D42">
        <w:rPr>
          <w:rFonts w:ascii="Times New Roman" w:hAnsi="Times New Roman" w:cs="Times New Roman"/>
          <w:color w:val="000000"/>
          <w:vertAlign w:val="subscript"/>
        </w:rPr>
        <w:t>F</w:t>
      </w:r>
      <w:r w:rsidRPr="009A5D42">
        <w:rPr>
          <w:rFonts w:ascii="Times New Roman" w:hAnsi="Times New Roman" w:cs="Times New Roman"/>
          <w:color w:val="000000"/>
        </w:rPr>
        <w:t xml:space="preserve"> ≤ 90 min </w:t>
      </w:r>
      <w:r w:rsidR="00FD4D47">
        <w:rPr>
          <w:rFonts w:ascii="Times New Roman" w:hAnsi="Times New Roman" w:cs="Times New Roman"/>
          <w:color w:val="000000"/>
        </w:rPr>
        <w:t>velika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na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požar</w:t>
      </w:r>
      <w:r w:rsidRPr="009A5D42">
        <w:rPr>
          <w:rFonts w:ascii="Times New Roman" w:hAnsi="Times New Roman" w:cs="Times New Roman"/>
          <w:color w:val="000000"/>
        </w:rPr>
        <w:t xml:space="preserve"> – </w:t>
      </w:r>
      <w:r w:rsidR="00FD4D47">
        <w:rPr>
          <w:rFonts w:ascii="Times New Roman" w:hAnsi="Times New Roman" w:cs="Times New Roman"/>
          <w:color w:val="000000"/>
        </w:rPr>
        <w:t>klasa</w:t>
      </w:r>
      <w:r w:rsidRPr="009A5D42">
        <w:rPr>
          <w:rFonts w:ascii="Times New Roman" w:hAnsi="Times New Roman" w:cs="Times New Roman"/>
          <w:color w:val="000000"/>
        </w:rPr>
        <w:t xml:space="preserve"> </w:t>
      </w:r>
      <w:r w:rsidR="00FD4D47">
        <w:rPr>
          <w:rFonts w:ascii="Times New Roman" w:hAnsi="Times New Roman" w:cs="Times New Roman"/>
          <w:color w:val="000000"/>
        </w:rPr>
        <w:t>otpornosti</w:t>
      </w:r>
      <w:r w:rsidRPr="009A5D42">
        <w:rPr>
          <w:rFonts w:ascii="Times New Roman" w:hAnsi="Times New Roman" w:cs="Times New Roman"/>
          <w:color w:val="000000"/>
        </w:rPr>
        <w:t xml:space="preserve"> 90 min.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elemenata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konstrukcije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klasama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90 min.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 w:rsidR="0052172E" w:rsidRPr="009A5D42">
        <w:rPr>
          <w:rFonts w:ascii="Times New Roman" w:hAnsi="Times New Roman" w:cs="Times New Roman"/>
          <w:i/>
          <w:color w:val="000000"/>
        </w:rPr>
        <w:t>SKb3</w:t>
      </w:r>
      <w:r w:rsidR="0052172E" w:rsidRPr="009A5D4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dobije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proračunska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otpornost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požaru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veća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90 min, </w:t>
      </w:r>
      <w:r>
        <w:rPr>
          <w:rFonts w:ascii="Times New Roman" w:hAnsi="Times New Roman" w:cs="Times New Roman"/>
          <w:color w:val="000000"/>
        </w:rPr>
        <w:t>tada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ponavlja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korigovanim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podacima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potrebnim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proračun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2172E" w:rsidRPr="009A5D42">
        <w:rPr>
          <w:rFonts w:ascii="Times New Roman" w:hAnsi="Times New Roman" w:cs="Times New Roman"/>
          <w:color w:val="000000"/>
        </w:rPr>
        <w:t xml:space="preserve"> 33. </w:t>
      </w:r>
      <w:r>
        <w:rPr>
          <w:rFonts w:ascii="Times New Roman" w:hAnsi="Times New Roman" w:cs="Times New Roman"/>
          <w:color w:val="000000"/>
        </w:rPr>
        <w:t>ovog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2172E" w:rsidRPr="009A5D42">
        <w:rPr>
          <w:rFonts w:ascii="Times New Roman" w:hAnsi="Times New Roman" w:cs="Times New Roman"/>
          <w:color w:val="000000"/>
        </w:rPr>
        <w:t xml:space="preserve"> 50.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52172E" w:rsidRPr="009A5D42">
        <w:rPr>
          <w:rFonts w:ascii="Times New Roman" w:hAnsi="Times New Roman" w:cs="Times New Roman"/>
          <w:color w:val="000000"/>
        </w:rPr>
        <w:t>”.</w:t>
      </w:r>
    </w:p>
    <w:p w:rsidR="001A641A" w:rsidRPr="009A5D42" w:rsidRDefault="00FD4D4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Broj</w:t>
      </w:r>
      <w:r w:rsidR="0052172E" w:rsidRPr="009A5D42">
        <w:rPr>
          <w:rFonts w:ascii="Times New Roman" w:hAnsi="Times New Roman" w:cs="Times New Roman"/>
          <w:color w:val="000000"/>
        </w:rPr>
        <w:t xml:space="preserve"> 01-11977/17-3</w:t>
      </w:r>
    </w:p>
    <w:p w:rsidR="001A641A" w:rsidRPr="009A5D42" w:rsidRDefault="00FD4D4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52172E" w:rsidRPr="009A5D42">
        <w:rPr>
          <w:rFonts w:ascii="Times New Roman" w:hAnsi="Times New Roman" w:cs="Times New Roman"/>
          <w:color w:val="000000"/>
        </w:rPr>
        <w:t xml:space="preserve">, 28. </w:t>
      </w:r>
      <w:r>
        <w:rPr>
          <w:rFonts w:ascii="Times New Roman" w:hAnsi="Times New Roman" w:cs="Times New Roman"/>
          <w:color w:val="000000"/>
        </w:rPr>
        <w:t>decembra</w:t>
      </w:r>
      <w:r w:rsidR="0052172E" w:rsidRPr="009A5D42">
        <w:rPr>
          <w:rFonts w:ascii="Times New Roman" w:hAnsi="Times New Roman" w:cs="Times New Roman"/>
          <w:color w:val="000000"/>
        </w:rPr>
        <w:t xml:space="preserve"> 2017. </w:t>
      </w:r>
      <w:r>
        <w:rPr>
          <w:rFonts w:ascii="Times New Roman" w:hAnsi="Times New Roman" w:cs="Times New Roman"/>
          <w:color w:val="000000"/>
        </w:rPr>
        <w:t>godine</w:t>
      </w:r>
    </w:p>
    <w:p w:rsidR="001A641A" w:rsidRPr="009A5D42" w:rsidRDefault="00FD4D4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52172E" w:rsidRPr="009A5D42">
        <w:rPr>
          <w:rFonts w:ascii="Times New Roman" w:hAnsi="Times New Roman" w:cs="Times New Roman"/>
          <w:color w:val="000000"/>
        </w:rPr>
        <w:t>,</w:t>
      </w:r>
    </w:p>
    <w:p w:rsidR="001A641A" w:rsidRPr="009A5D42" w:rsidRDefault="00FD4D47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Nebojša</w:t>
      </w:r>
      <w:r w:rsidR="0052172E" w:rsidRPr="009A5D42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Stefanović</w:t>
      </w:r>
      <w:r w:rsidR="0052172E" w:rsidRPr="009A5D42">
        <w:rPr>
          <w:rFonts w:ascii="Times New Roman" w:hAnsi="Times New Roman" w:cs="Times New Roman"/>
          <w:b/>
          <w:color w:val="000000"/>
        </w:rPr>
        <w:t>,</w:t>
      </w:r>
      <w:r w:rsidR="0052172E" w:rsidRPr="009A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52172E" w:rsidRPr="009A5D4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52172E" w:rsidRPr="009A5D42">
        <w:rPr>
          <w:rFonts w:ascii="Times New Roman" w:hAnsi="Times New Roman" w:cs="Times New Roman"/>
          <w:color w:val="000000"/>
        </w:rPr>
        <w:t>.</w:t>
      </w:r>
    </w:p>
    <w:p w:rsidR="001A641A" w:rsidRPr="009A5D42" w:rsidRDefault="00FD4D47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Tabela</w:t>
      </w:r>
      <w:r w:rsidR="0052172E" w:rsidRPr="009A5D42">
        <w:rPr>
          <w:rFonts w:ascii="Times New Roman" w:hAnsi="Times New Roman" w:cs="Times New Roman"/>
          <w:color w:val="000000"/>
        </w:rPr>
        <w:t xml:space="preserve"> 1.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32"/>
        <w:gridCol w:w="3425"/>
        <w:gridCol w:w="1673"/>
        <w:gridCol w:w="1098"/>
        <w:gridCol w:w="1700"/>
      </w:tblGrid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KARAKTERISTIKE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GORIVIH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MATERIJALA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Broj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Vrsta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materijala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način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skladištenje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</w:rPr>
              <w:br/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skladištenja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%</w:t>
            </w:r>
            <w:r w:rsidRPr="009A5D42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m–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faktor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Toplotna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moć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H</w:t>
            </w:r>
            <w:r w:rsidRPr="009A5D42">
              <w:rPr>
                <w:rFonts w:ascii="Times New Roman" w:hAnsi="Times New Roman" w:cs="Times New Roman"/>
                <w:color w:val="000000"/>
                <w:vertAlign w:val="subscript"/>
              </w:rPr>
              <w:t>c</w:t>
            </w:r>
          </w:p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[kWh/kg]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DRVO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MATERIJALI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BAZI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DRVETA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Četinarsko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drvo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ploče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greda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40 mm x 40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greda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100 mm x 100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greda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200 mm x 200 mm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(</w:t>
            </w:r>
            <w:r w:rsidR="00FD4D47">
              <w:rPr>
                <w:rFonts w:ascii="Times New Roman" w:hAnsi="Times New Roman" w:cs="Times New Roman"/>
                <w:color w:val="000000"/>
              </w:rPr>
              <w:t>gusto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složene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greda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500 mm x 500 mm</w:t>
            </w:r>
          </w:p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(</w:t>
            </w:r>
            <w:r w:rsidR="00FD4D47">
              <w:rPr>
                <w:rFonts w:ascii="Times New Roman" w:hAnsi="Times New Roman" w:cs="Times New Roman"/>
                <w:color w:val="000000"/>
              </w:rPr>
              <w:t>gusto</w:t>
            </w:r>
            <w:r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color w:val="000000"/>
              </w:rPr>
              <w:t>složene</w:t>
            </w:r>
            <w:r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okruglo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bez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kore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prečnika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150–300 mm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1.1.7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drvena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vuna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presovana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pojedinačne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loptu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Iverice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osb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ploče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sl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</w:rPr>
              <w:t>naslagane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jedna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drugu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Šperploče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horizontalne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slagane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horizontalne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slagane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Mali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nameštaj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materijala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bazi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drveta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neupakovan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Korpe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PAPIR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KARTON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2.1.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Papir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pisanje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štampu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papir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velikog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formata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</w:rPr>
              <w:t>paketu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papir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velikog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formata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vertikalno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zasebno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stoje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podu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rolnama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vertikalno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knjige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regal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Karton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obojen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ili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neobojen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isečen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složen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rolnama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vertikalno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nesabijen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uključujući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valovit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kontejner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prazan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složen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jedan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drugi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Stari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korišćen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papir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uključujući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presovan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balama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stari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papir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slobodan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nesabijen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2.4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Sanitarni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krep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papir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rolni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džaku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2.4.2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velikim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rolnama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TEKSTILNI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PROIZVODI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Otpadni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materijal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presovano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bale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pamučnih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poliamidnih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poliakrilnitrilnih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vlakakana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sunđer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čišćenje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natopljen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uljem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otvorenom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limenom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kontejneru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odeća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svih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vrsta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viseći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10-30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Pamuk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tkanina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vlakna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presovana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balama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Poliakrilnitrilna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vlakna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presovana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balama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vlakna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mešavina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poliamidnih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vuna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pamuk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3.3.2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vlakna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modifikovana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35% </w:t>
            </w:r>
            <w:r>
              <w:rPr>
                <w:rFonts w:ascii="Times New Roman" w:hAnsi="Times New Roman" w:cs="Times New Roman"/>
                <w:color w:val="000000"/>
              </w:rPr>
              <w:t>vinilhloridom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Poliamidna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vlakna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presovana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balama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Ovčija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vuna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presovana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balama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3.5.2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rastresita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3.6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Tepisi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podne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obloge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filca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svih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vrsta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horizonatalno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filca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svih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vrsta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vlakana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horizonatalno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slagani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sirovina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bez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postave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horizonatalno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retko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slagana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SINTETIČKI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MATERIJALI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Epoksi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smole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bez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ojačanja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tečnom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stanju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Merni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uređaji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instrumenti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etilen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>propilen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>dien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mineralni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deo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20%), </w:t>
            </w:r>
            <w:r>
              <w:rPr>
                <w:rFonts w:ascii="Times New Roman" w:hAnsi="Times New Roman" w:cs="Times New Roman"/>
                <w:b/>
                <w:color w:val="000000"/>
              </w:rPr>
              <w:t>uskladišten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kartonskim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kutijama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30–90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Fenolna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smola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4.3.1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table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staklene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mineralne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vune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Poliamid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4.4.1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rol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folija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Polikarbodimid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tvrda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gustine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16,8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Poliesterska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smola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nezasićena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taknozidni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proizvodi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profili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lajsne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.) </w:t>
            </w:r>
            <w:r>
              <w:rPr>
                <w:rFonts w:ascii="Times New Roman" w:hAnsi="Times New Roman" w:cs="Times New Roman"/>
                <w:color w:val="000000"/>
              </w:rPr>
              <w:t>ojačani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staklenim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vlaknima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koji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nisu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5–25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taknozidni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proizvodi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profili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lajsne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.) </w:t>
            </w:r>
            <w:r>
              <w:rPr>
                <w:rFonts w:ascii="Times New Roman" w:hAnsi="Times New Roman" w:cs="Times New Roman"/>
                <w:color w:val="000000"/>
              </w:rPr>
              <w:t>ojačani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staklenim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vlaknima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taknozidni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proizvodi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profili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lajsne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.) </w:t>
            </w:r>
            <w:r>
              <w:rPr>
                <w:rFonts w:ascii="Times New Roman" w:hAnsi="Times New Roman" w:cs="Times New Roman"/>
                <w:color w:val="000000"/>
              </w:rPr>
              <w:t>ojačani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staklenim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vlaknima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toplotnom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izolacijom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penastih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materijala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Poliolefin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polietilen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granulat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džakovima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polietilen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kontejner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unutra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nezapaljiv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sadržaj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jedno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drugo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ili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prosuto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polietilen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rol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folija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polipropilen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kutijama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polipropilen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granulat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džakovima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polipropilen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granulat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džakovima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polipropilen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4.7.8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polipropilen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kopolimer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kutijama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30-90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Polistiren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ABS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kutijama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tanke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lajsne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penasti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polistiren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otvorenom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kontejneru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PS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tvrda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20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4.8.4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PS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tvrda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23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4.9.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Poliuretan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PUR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tvrda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36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PUR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meka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36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žičanim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korpama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4.9.3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PUR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meka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gustina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36 kg/m</w:t>
            </w:r>
            <w:r w:rsidR="0052172E" w:rsidRPr="009A5D4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sklopu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konstrukcijom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tapaciran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nameštaj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4.10.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Polivinilhlorid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>PVC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žičanim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korpama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kartonskim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kutijama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tvrdi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papir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30-90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cevi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horizontalno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4.10.5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žičanim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korpama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4.11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Polimetilmetakrilat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5.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ČVRSTA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GORIVA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5.1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Briketi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mrkog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uglja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nasuti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ili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složeni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5.2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Koks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meko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nasuti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sklopu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drvetom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delovi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35%), </w:t>
            </w:r>
            <w:r>
              <w:rPr>
                <w:rFonts w:ascii="Times New Roman" w:hAnsi="Times New Roman" w:cs="Times New Roman"/>
                <w:color w:val="000000"/>
              </w:rPr>
              <w:t>meko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nasuti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ZAPALjIVI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FLUIDI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USKLADIŠTENI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BURADIMA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TEMPERATURI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ISPOD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TAČKE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KLjUČANjA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9A5D42">
              <w:rPr>
                <w:rFonts w:ascii="Times New Roman" w:hAnsi="Times New Roman" w:cs="Times New Roman"/>
                <w:i/>
                <w:color w:val="000000"/>
              </w:rPr>
              <w:t>m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FAKTOR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SAGOREVANjA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DEFINISAN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SA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OGRANIČENIM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DOVODOM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VAZDUHA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Aceton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Benzin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Benzol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Hlorbenzol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Cikloheksan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Dizel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lako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ulje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loženje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Dimetilformamid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Petrolej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6.9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Etilalkohol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etanol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Glikol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Izopropilalkohol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izopropanol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Kerozin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Motorno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mašinsko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ulje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Metanol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Nitro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razređivač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Nafta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Benzin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čišćenje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6.18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Teško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ulje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loženje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6.19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Silikon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6.20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Terpentin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Toluol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6.22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Ksilol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GUMA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BITUMENI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7.1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Guma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vučne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gumene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trake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slojevima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samolepljiva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traka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dihtovanje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gume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vozila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kaučuka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retko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raspoređene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7.1.4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gume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vozila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kaučuka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7.2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Bitumeni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blokovi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bitumena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7.2.2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krovne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membrane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HRANA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Ražano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brašno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malim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papirnim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džakovima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složeno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Mast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za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hranu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8.2.1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margarin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najmanje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15% </w:t>
            </w:r>
            <w:r>
              <w:rPr>
                <w:rFonts w:ascii="Times New Roman" w:hAnsi="Times New Roman" w:cs="Times New Roman"/>
                <w:color w:val="000000"/>
              </w:rPr>
              <w:t>vode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8.2.2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margarin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najmanje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15% </w:t>
            </w:r>
            <w:r>
              <w:rPr>
                <w:rFonts w:ascii="Times New Roman" w:hAnsi="Times New Roman" w:cs="Times New Roman"/>
                <w:color w:val="000000"/>
              </w:rPr>
              <w:t>vode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uskladišten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40–60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Šećer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malim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papirnim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džakovima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složeno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9.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ELEKTRO</w:t>
            </w: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PROIZVODI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9.1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Kablovi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PVC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izolacijom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kablovski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snopovi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metalnim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nosačima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30–90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 xml:space="preserve">5,0 </w:t>
            </w:r>
            <w:r w:rsidR="00FD4D4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 xml:space="preserve">10. </w:t>
            </w:r>
            <w:r w:rsidR="00FD4D47">
              <w:rPr>
                <w:rFonts w:ascii="Times New Roman" w:hAnsi="Times New Roman" w:cs="Times New Roman"/>
                <w:b/>
                <w:color w:val="000000"/>
              </w:rPr>
              <w:t>OSTALO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Radne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cipele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kožom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poluretanskim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đonovima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kartonskom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pakovanju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Krečni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amonijum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nitrat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poliestarskim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vrećama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naslagane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Krečni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amonijum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nitrat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poliestarskim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vrećama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naslagane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10.4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Koža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</w:rPr>
              <w:t>složena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5–15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10.5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Mast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otvorenom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kontejneru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10.6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Audiokasete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diskete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1A641A">
            <w:pPr>
              <w:rPr>
                <w:rFonts w:ascii="Times New Roman" w:hAnsi="Times New Roman" w:cs="Times New Roman"/>
              </w:rPr>
            </w:pP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10.6.1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nefiksirane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lagano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grubo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složene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10.6.2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polikarbonat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kućište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poliestarske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trake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nije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gusto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naslagano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10.6.3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polikarbonat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kućište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poliestarske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trake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kartonskoj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kutiji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D4D47" w:rsidRPr="009A5D42">
        <w:trPr>
          <w:trHeight w:val="45"/>
          <w:tblCellSpacing w:w="0" w:type="auto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b/>
                <w:color w:val="000000"/>
              </w:rPr>
              <w:t>10.7</w:t>
            </w:r>
          </w:p>
        </w:tc>
        <w:tc>
          <w:tcPr>
            <w:tcW w:w="5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Disperzivne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boje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plastičnim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kantama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drvenim</w:t>
            </w:r>
            <w:r w:rsidR="0052172E" w:rsidRPr="009A5D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paletama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52172E">
            <w:pPr>
              <w:spacing w:after="150"/>
              <w:rPr>
                <w:rFonts w:ascii="Times New Roman" w:hAnsi="Times New Roman" w:cs="Times New Roman"/>
              </w:rPr>
            </w:pPr>
            <w:r w:rsidRPr="009A5D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A641A" w:rsidRPr="009A5D42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Odnosi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samo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gorive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komponente</w:t>
            </w:r>
          </w:p>
          <w:p w:rsidR="001A641A" w:rsidRPr="009A5D42" w:rsidRDefault="00FD4D4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NAPOMENA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Tabela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preuzeta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iz</w:t>
            </w:r>
            <w:r w:rsidR="0052172E" w:rsidRPr="009A5D42">
              <w:rPr>
                <w:rFonts w:ascii="Times New Roman" w:hAnsi="Times New Roman" w:cs="Times New Roman"/>
                <w:color w:val="000000"/>
              </w:rPr>
              <w:t xml:space="preserve"> DIN 18230-3</w:t>
            </w:r>
          </w:p>
        </w:tc>
      </w:tr>
    </w:tbl>
    <w:p w:rsidR="0052172E" w:rsidRPr="009A5D42" w:rsidRDefault="0052172E">
      <w:pPr>
        <w:rPr>
          <w:rFonts w:ascii="Times New Roman" w:hAnsi="Times New Roman" w:cs="Times New Roman"/>
        </w:rPr>
      </w:pPr>
    </w:p>
    <w:sectPr w:rsidR="0052172E" w:rsidRPr="009A5D42" w:rsidSect="001A64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A641A"/>
    <w:rsid w:val="001A641A"/>
    <w:rsid w:val="001B7EDE"/>
    <w:rsid w:val="0052172E"/>
    <w:rsid w:val="009A5D42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A641A"/>
  </w:style>
  <w:style w:type="paragraph" w:styleId="BalloonText">
    <w:name w:val="Balloon Text"/>
    <w:basedOn w:val="Normal"/>
    <w:link w:val="BalloonTextChar"/>
    <w:uiPriority w:val="99"/>
    <w:semiHidden/>
    <w:unhideWhenUsed/>
    <w:rsid w:val="00FD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7558</Words>
  <Characters>43083</Characters>
  <Application>Microsoft Office Word</Application>
  <DocSecurity>0</DocSecurity>
  <Lines>359</Lines>
  <Paragraphs>101</Paragraphs>
  <ScaleCrop>false</ScaleCrop>
  <Company/>
  <LinksUpToDate>false</LinksUpToDate>
  <CharactersWithSpaces>50540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2018-04-13T06:53:00Z</dcterms:created>
  <dcterms:modified xsi:type="dcterms:W3CDTF">2018-04-17T09:27:00Z</dcterms:modified>
</cp:coreProperties>
</file>