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D36CF6" w:rsidRPr="00D36CF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44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D36CF6" w:rsidRPr="00D36CF6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D36CF6" w:rsidRPr="00D36CF6">
        <w:rPr>
          <w:rFonts w:ascii="Times New Roman" w:hAnsi="Times New Roman" w:cs="Times New Roman"/>
          <w:color w:val="000000"/>
        </w:rPr>
        <w:t xml:space="preserve">. 111/09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20/15),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AF658B" w:rsidRPr="00D36CF6" w:rsidRDefault="00A562F7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AF658B" w:rsidRPr="00D36CF6" w:rsidRDefault="00A562F7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tehničkim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normativima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instalacije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hidrantske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mreže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gašenje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>"</w:t>
      </w:r>
      <w:r w:rsidR="00A562F7">
        <w:rPr>
          <w:rFonts w:ascii="Times New Roman" w:hAnsi="Times New Roman" w:cs="Times New Roman"/>
          <w:color w:val="000000"/>
        </w:rPr>
        <w:t>Službeni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glasnik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RS</w:t>
      </w:r>
      <w:r w:rsidRPr="00D36CF6">
        <w:rPr>
          <w:rFonts w:ascii="Times New Roman" w:hAnsi="Times New Roman" w:cs="Times New Roman"/>
          <w:color w:val="000000"/>
        </w:rPr>
        <w:t xml:space="preserve">", </w:t>
      </w:r>
      <w:r w:rsidR="00A562F7">
        <w:rPr>
          <w:rFonts w:ascii="Times New Roman" w:hAnsi="Times New Roman" w:cs="Times New Roman"/>
          <w:color w:val="000000"/>
        </w:rPr>
        <w:t>broj</w:t>
      </w:r>
      <w:r w:rsidRPr="00D36CF6">
        <w:rPr>
          <w:rFonts w:ascii="Times New Roman" w:hAnsi="Times New Roman" w:cs="Times New Roman"/>
          <w:color w:val="000000"/>
        </w:rPr>
        <w:t xml:space="preserve"> 3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12. </w:t>
      </w:r>
      <w:r w:rsidR="00A562F7">
        <w:rPr>
          <w:rFonts w:ascii="Times New Roman" w:hAnsi="Times New Roman" w:cs="Times New Roman"/>
          <w:color w:val="000000"/>
        </w:rPr>
        <w:t>januara</w:t>
      </w:r>
      <w:r w:rsidRPr="00D36CF6">
        <w:rPr>
          <w:rFonts w:ascii="Times New Roman" w:hAnsi="Times New Roman" w:cs="Times New Roman"/>
          <w:color w:val="000000"/>
        </w:rPr>
        <w:t xml:space="preserve"> 2018.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>I. O</w:t>
      </w:r>
      <w:r w:rsidR="00A562F7">
        <w:rPr>
          <w:rFonts w:ascii="Times New Roman" w:hAnsi="Times New Roman" w:cs="Times New Roman"/>
          <w:color w:val="000000"/>
        </w:rPr>
        <w:t>PŠTE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ODREDBE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normativi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projektovanje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izvođenje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upotrebu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kontrolisanje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održavanje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kapacitet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količinu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ukupnu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utvrđeni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pravilnicima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primenjivaće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primenjivaće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Odredbe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Termini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pojmovi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značenja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1) </w:t>
      </w:r>
      <w:r w:rsidR="00A562F7">
        <w:rPr>
          <w:rFonts w:ascii="Times New Roman" w:hAnsi="Times New Roman" w:cs="Times New Roman"/>
          <w:color w:val="000000"/>
        </w:rPr>
        <w:t>instalacija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sastoji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cevovoda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opreme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siguran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način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dovodi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pouzdanog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štićenih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ugrađuju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priključci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2) </w:t>
      </w:r>
      <w:r w:rsidR="00A562F7">
        <w:rPr>
          <w:rFonts w:ascii="Times New Roman" w:hAnsi="Times New Roman" w:cs="Times New Roman"/>
          <w:color w:val="000000"/>
        </w:rPr>
        <w:t>cevovod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cevovod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stabilno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položeni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zatvaračima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priključcima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3) </w:t>
      </w:r>
      <w:r w:rsidR="00A562F7">
        <w:rPr>
          <w:rFonts w:ascii="Times New Roman" w:hAnsi="Times New Roman" w:cs="Times New Roman"/>
          <w:color w:val="000000"/>
        </w:rPr>
        <w:t>hidrantski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priključak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ugradnju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spoljni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vrsta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skladu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standardima</w:t>
      </w:r>
      <w:r w:rsidRPr="00D36CF6">
        <w:rPr>
          <w:rFonts w:ascii="Times New Roman" w:hAnsi="Times New Roman" w:cs="Times New Roman"/>
          <w:color w:val="000000"/>
        </w:rPr>
        <w:t xml:space="preserve"> SRPS EN 14384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SRPS EN 14339,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koristi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neposredno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njega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priključuju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prenosne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pumpe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odnosno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vozila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ugrađenim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pumpama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4) </w:t>
      </w:r>
      <w:r w:rsidR="00A562F7">
        <w:rPr>
          <w:rFonts w:ascii="Times New Roman" w:hAnsi="Times New Roman" w:cs="Times New Roman"/>
          <w:color w:val="000000"/>
        </w:rPr>
        <w:t>hidrantski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priključak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ugradnju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unutrašnji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vrsta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skladu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standardima</w:t>
      </w:r>
      <w:r w:rsidRPr="00D36CF6">
        <w:rPr>
          <w:rFonts w:ascii="Times New Roman" w:hAnsi="Times New Roman" w:cs="Times New Roman"/>
          <w:color w:val="000000"/>
        </w:rPr>
        <w:t xml:space="preserve"> SRPS EN 671-1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SRPS </w:t>
      </w:r>
      <w:r w:rsidR="00A562F7">
        <w:rPr>
          <w:rFonts w:ascii="Times New Roman" w:hAnsi="Times New Roman" w:cs="Times New Roman"/>
          <w:color w:val="000000"/>
        </w:rPr>
        <w:t>E</w:t>
      </w:r>
      <w:r w:rsidRPr="00D36CF6">
        <w:rPr>
          <w:rFonts w:ascii="Times New Roman" w:hAnsi="Times New Roman" w:cs="Times New Roman"/>
          <w:color w:val="000000"/>
        </w:rPr>
        <w:t xml:space="preserve">N 671-2,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koristi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neposredno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5) </w:t>
      </w:r>
      <w:r w:rsidR="00A562F7">
        <w:rPr>
          <w:rFonts w:ascii="Times New Roman" w:hAnsi="Times New Roman" w:cs="Times New Roman"/>
          <w:color w:val="000000"/>
        </w:rPr>
        <w:t>javna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naseljenog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nadležnosti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javnog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preduzeća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obuhvata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izvorišta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prerade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rezervoare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pumpne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stanice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magistralne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distributivnu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sve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priključenja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potrošača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6) </w:t>
      </w:r>
      <w:r w:rsidR="00A562F7">
        <w:rPr>
          <w:rFonts w:ascii="Times New Roman" w:hAnsi="Times New Roman" w:cs="Times New Roman"/>
          <w:color w:val="000000"/>
        </w:rPr>
        <w:t>lokalna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kompleksa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vlasništvu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privrednog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subjekta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pravnog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fizičkog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lica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sopstvene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rezervoare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bunare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vodozahvate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lastRenderedPageBreak/>
        <w:t>reke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jezera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kanala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</w:t>
      </w:r>
      <w:r w:rsidRPr="00D36CF6">
        <w:rPr>
          <w:rFonts w:ascii="Times New Roman" w:hAnsi="Times New Roman" w:cs="Times New Roman"/>
          <w:color w:val="000000"/>
        </w:rPr>
        <w:t xml:space="preserve">.), </w:t>
      </w:r>
      <w:r w:rsidR="00A562F7">
        <w:rPr>
          <w:rFonts w:ascii="Times New Roman" w:hAnsi="Times New Roman" w:cs="Times New Roman"/>
          <w:color w:val="000000"/>
        </w:rPr>
        <w:t>pumpnu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stanicu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interni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hidrantima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napaja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svih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kompleksu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7) </w:t>
      </w:r>
      <w:r w:rsidR="00A562F7">
        <w:rPr>
          <w:rFonts w:ascii="Times New Roman" w:hAnsi="Times New Roman" w:cs="Times New Roman"/>
          <w:color w:val="000000"/>
        </w:rPr>
        <w:t>računski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broj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broj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mogu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nastati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toku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uzastopna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časa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području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naseljenog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dimenzioniše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sastavni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deo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javne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8) </w:t>
      </w:r>
      <w:r w:rsidR="00A562F7">
        <w:rPr>
          <w:rFonts w:ascii="Times New Roman" w:hAnsi="Times New Roman" w:cs="Times New Roman"/>
          <w:color w:val="000000"/>
        </w:rPr>
        <w:t>stanica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zahvatanje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stanica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izgrađen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pored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reke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akumulacije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jezero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kanal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bazen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bunar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</w:t>
      </w:r>
      <w:r w:rsidRPr="00D36CF6">
        <w:rPr>
          <w:rFonts w:ascii="Times New Roman" w:hAnsi="Times New Roman" w:cs="Times New Roman"/>
          <w:color w:val="000000"/>
        </w:rPr>
        <w:t xml:space="preserve">.) </w:t>
      </w:r>
      <w:r w:rsidR="00A562F7">
        <w:rPr>
          <w:rFonts w:ascii="Times New Roman" w:hAnsi="Times New Roman" w:cs="Times New Roman"/>
          <w:color w:val="000000"/>
        </w:rPr>
        <w:t>namenjen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trajan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smeštaj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opreme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stalno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napajanje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vodom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9) </w:t>
      </w:r>
      <w:r w:rsidR="00A562F7">
        <w:rPr>
          <w:rFonts w:ascii="Times New Roman" w:hAnsi="Times New Roman" w:cs="Times New Roman"/>
          <w:color w:val="000000"/>
        </w:rPr>
        <w:t>privremena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stanica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zahvatanje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privremena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stanica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pored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reke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akumulacije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jezero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kanal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bazen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bunar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</w:t>
      </w:r>
      <w:r w:rsidRPr="00D36CF6">
        <w:rPr>
          <w:rFonts w:ascii="Times New Roman" w:hAnsi="Times New Roman" w:cs="Times New Roman"/>
          <w:color w:val="000000"/>
        </w:rPr>
        <w:t xml:space="preserve">.) </w:t>
      </w:r>
      <w:r w:rsidR="00A562F7">
        <w:rPr>
          <w:rFonts w:ascii="Times New Roman" w:hAnsi="Times New Roman" w:cs="Times New Roman"/>
          <w:color w:val="000000"/>
        </w:rPr>
        <w:t>namenjeno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privremeno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postavljanje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vozila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ugrađenom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pumpom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zahvatanje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opreme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10) </w:t>
      </w:r>
      <w:r w:rsidR="00A562F7">
        <w:rPr>
          <w:rFonts w:ascii="Times New Roman" w:hAnsi="Times New Roman" w:cs="Times New Roman"/>
          <w:color w:val="000000"/>
        </w:rPr>
        <w:t>instalacija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spoljna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deo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predstavlja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skup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građevinskih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opreme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kojima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snabdevanje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uključujući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11) </w:t>
      </w:r>
      <w:r w:rsidR="00A562F7">
        <w:rPr>
          <w:rFonts w:ascii="Times New Roman" w:hAnsi="Times New Roman" w:cs="Times New Roman"/>
          <w:color w:val="000000"/>
        </w:rPr>
        <w:t>instalacija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unutrašnja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deo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predstavlja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skup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opreme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kojima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uključujući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hidrante</w:t>
      </w:r>
      <w:r w:rsidRPr="00D36CF6">
        <w:rPr>
          <w:rFonts w:ascii="Times New Roman" w:hAnsi="Times New Roman" w:cs="Times New Roman"/>
          <w:color w:val="000000"/>
        </w:rPr>
        <w:t xml:space="preserve">. </w:t>
      </w:r>
      <w:r w:rsidR="00A562F7">
        <w:rPr>
          <w:rFonts w:ascii="Times New Roman" w:hAnsi="Times New Roman" w:cs="Times New Roman"/>
          <w:color w:val="000000"/>
        </w:rPr>
        <w:t>Izuzetno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uređaj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podizanje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pritiska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biti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smešten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slobodnostojećem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slučaju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takođe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predstavlja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deo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12) </w:t>
      </w:r>
      <w:r w:rsidR="00A562F7">
        <w:rPr>
          <w:rFonts w:ascii="Times New Roman" w:hAnsi="Times New Roman" w:cs="Times New Roman"/>
          <w:color w:val="000000"/>
        </w:rPr>
        <w:t>neposredno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vatrogasnog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creva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mlaznice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bez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prenosne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prevozne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pumpe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vozilu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13) </w:t>
      </w:r>
      <w:r w:rsidR="00A562F7">
        <w:rPr>
          <w:rFonts w:ascii="Times New Roman" w:hAnsi="Times New Roman" w:cs="Times New Roman"/>
          <w:color w:val="000000"/>
        </w:rPr>
        <w:t>rezervni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snabdevanje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električnom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energijom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automatski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stupa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rad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uključuje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ručno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slučaju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nestane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električne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energije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primarnom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koga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napajaju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14) </w:t>
      </w:r>
      <w:r w:rsidR="00A562F7">
        <w:rPr>
          <w:rFonts w:ascii="Times New Roman" w:hAnsi="Times New Roman" w:cs="Times New Roman"/>
          <w:color w:val="000000"/>
        </w:rPr>
        <w:t>visina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visinska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razlika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između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kolovoza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uz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platoa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namenjenog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vozilo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vrši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intervencija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slučaju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najviše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etaže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borave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ljudi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15) </w:t>
      </w:r>
      <w:r w:rsidR="00A562F7">
        <w:rPr>
          <w:rFonts w:ascii="Times New Roman" w:hAnsi="Times New Roman" w:cs="Times New Roman"/>
          <w:color w:val="000000"/>
        </w:rPr>
        <w:t>suvi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cevovod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normalnim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uslovima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ispunjen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vodom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zbog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opasnosti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zamrzavanja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</w:t>
      </w:r>
      <w:r w:rsidRPr="00D36CF6">
        <w:rPr>
          <w:rFonts w:ascii="Times New Roman" w:hAnsi="Times New Roman" w:cs="Times New Roman"/>
          <w:color w:val="000000"/>
        </w:rPr>
        <w:t xml:space="preserve">.), </w:t>
      </w:r>
      <w:r w:rsidR="00A562F7">
        <w:rPr>
          <w:rFonts w:ascii="Times New Roman" w:hAnsi="Times New Roman" w:cs="Times New Roman"/>
          <w:color w:val="000000"/>
        </w:rPr>
        <w:t>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slučaju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ispunjava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posle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daljinskog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otvaranja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odgovarajućeg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cevnog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zatvarača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16) </w:t>
      </w:r>
      <w:r w:rsidR="00A562F7">
        <w:rPr>
          <w:rFonts w:ascii="Times New Roman" w:hAnsi="Times New Roman" w:cs="Times New Roman"/>
          <w:color w:val="000000"/>
        </w:rPr>
        <w:t>pouzdan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pouzdan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skladu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ovim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pravilnikom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obezbedi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ukupnu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pritisak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takvog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kvaliteta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upotrebiti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17)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daljem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tekstu</w:t>
      </w:r>
      <w:r w:rsidRPr="00D36CF6">
        <w:rPr>
          <w:rFonts w:ascii="Times New Roman" w:hAnsi="Times New Roman" w:cs="Times New Roman"/>
          <w:color w:val="000000"/>
        </w:rPr>
        <w:t xml:space="preserve">: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)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jedinici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vremena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gasi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18) </w:t>
      </w:r>
      <w:r w:rsidR="00A562F7">
        <w:rPr>
          <w:rFonts w:ascii="Times New Roman" w:hAnsi="Times New Roman" w:cs="Times New Roman"/>
          <w:color w:val="000000"/>
        </w:rPr>
        <w:t>ukupna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trajanju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najmanje</w:t>
      </w:r>
      <w:r w:rsidRPr="00D36CF6">
        <w:rPr>
          <w:rFonts w:ascii="Times New Roman" w:hAnsi="Times New Roman" w:cs="Times New Roman"/>
          <w:color w:val="000000"/>
        </w:rPr>
        <w:t xml:space="preserve"> 120 min. </w:t>
      </w:r>
      <w:r w:rsidR="00A562F7">
        <w:rPr>
          <w:rFonts w:ascii="Times New Roman" w:hAnsi="Times New Roman" w:cs="Times New Roman"/>
          <w:color w:val="000000"/>
        </w:rPr>
        <w:t>Izuzetno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slučaju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istog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napajaju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sistemi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tada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lastRenderedPageBreak/>
        <w:t>ukupna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utvrđuje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zbir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ukupne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trajanju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najmanje</w:t>
      </w:r>
      <w:r w:rsidRPr="00D36CF6">
        <w:rPr>
          <w:rFonts w:ascii="Times New Roman" w:hAnsi="Times New Roman" w:cs="Times New Roman"/>
          <w:color w:val="000000"/>
        </w:rPr>
        <w:t xml:space="preserve"> 120 min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ukupne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sistema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trajanju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predviđenom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sisteme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19) </w:t>
      </w:r>
      <w:r w:rsidR="00A562F7">
        <w:rPr>
          <w:rFonts w:ascii="Times New Roman" w:hAnsi="Times New Roman" w:cs="Times New Roman"/>
          <w:color w:val="000000"/>
        </w:rPr>
        <w:t>naseljeno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jeste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izgrađeni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funkcionalno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objedinjeni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kome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obezbeđeni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uslovi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život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rad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ljudi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zadovoljavanje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zajedničkih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stanovnika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20) </w:t>
      </w:r>
      <w:r w:rsidR="00A562F7">
        <w:rPr>
          <w:rFonts w:ascii="Times New Roman" w:hAnsi="Times New Roman" w:cs="Times New Roman"/>
          <w:color w:val="000000"/>
        </w:rPr>
        <w:t>uređaj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podizanje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pritiska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automatski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sastoji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uređaja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upravljanje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pumpi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izvršnih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elemenata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namenjen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podiže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pritisak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mreži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21) </w:t>
      </w:r>
      <w:r w:rsidR="00A562F7">
        <w:rPr>
          <w:rFonts w:ascii="Times New Roman" w:hAnsi="Times New Roman" w:cs="Times New Roman"/>
          <w:color w:val="000000"/>
        </w:rPr>
        <w:t>specifično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određuje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skladu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SRPS U.</w:t>
      </w:r>
      <w:r w:rsidR="00A562F7">
        <w:rPr>
          <w:rFonts w:ascii="Times New Roman" w:hAnsi="Times New Roman" w:cs="Times New Roman"/>
          <w:color w:val="000000"/>
        </w:rPr>
        <w:t>J</w:t>
      </w:r>
      <w:r w:rsidRPr="00D36CF6">
        <w:rPr>
          <w:rFonts w:ascii="Times New Roman" w:hAnsi="Times New Roman" w:cs="Times New Roman"/>
          <w:color w:val="000000"/>
        </w:rPr>
        <w:t xml:space="preserve">1.030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biti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nisko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srednje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visoko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opterećenje</w:t>
      </w:r>
      <w:r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zahteva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propisima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zahteva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lokacijskim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uslovima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pribavljaju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postupku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izgradnje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3)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razvrstani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kategoriju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tehnološkog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procesa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ugroženosti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1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5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K1E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članu</w:t>
      </w:r>
      <w:r w:rsidRPr="00D36CF6">
        <w:rPr>
          <w:rFonts w:ascii="Times New Roman" w:hAnsi="Times New Roman" w:cs="Times New Roman"/>
          <w:color w:val="000000"/>
        </w:rPr>
        <w:t xml:space="preserve"> 11. </w:t>
      </w:r>
      <w:r w:rsidR="00A562F7">
        <w:rPr>
          <w:rFonts w:ascii="Times New Roman" w:hAnsi="Times New Roman" w:cs="Times New Roman"/>
          <w:color w:val="000000"/>
        </w:rPr>
        <w:t>stav</w:t>
      </w:r>
      <w:r w:rsidRPr="00D36CF6">
        <w:rPr>
          <w:rFonts w:ascii="Times New Roman" w:hAnsi="Times New Roman" w:cs="Times New Roman"/>
          <w:color w:val="000000"/>
        </w:rPr>
        <w:t xml:space="preserve"> 2. </w:t>
      </w:r>
      <w:r w:rsidR="00A562F7">
        <w:rPr>
          <w:rFonts w:ascii="Times New Roman" w:hAnsi="Times New Roman" w:cs="Times New Roman"/>
          <w:color w:val="000000"/>
        </w:rPr>
        <w:t>ovog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pravilnika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4) </w:t>
      </w:r>
      <w:r w:rsidR="00A562F7">
        <w:rPr>
          <w:rFonts w:ascii="Times New Roman" w:hAnsi="Times New Roman" w:cs="Times New Roman"/>
          <w:color w:val="000000"/>
        </w:rPr>
        <w:t>stalna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zavarivanje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rezanje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definisana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nalaze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objektu</w:t>
      </w:r>
      <w:r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3)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unutrašnjom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1) </w:t>
      </w:r>
      <w:r w:rsidR="00A562F7">
        <w:rPr>
          <w:rFonts w:ascii="Times New Roman" w:hAnsi="Times New Roman" w:cs="Times New Roman"/>
          <w:color w:val="000000"/>
        </w:rPr>
        <w:t>stambeni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lamela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koja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visinu</w:t>
      </w:r>
      <w:r w:rsidRPr="00D36CF6">
        <w:rPr>
          <w:rFonts w:ascii="Times New Roman" w:hAnsi="Times New Roman" w:cs="Times New Roman"/>
          <w:color w:val="000000"/>
        </w:rPr>
        <w:t xml:space="preserve"> ≤12 m;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2) </w:t>
      </w:r>
      <w:r w:rsidR="00A562F7">
        <w:rPr>
          <w:rFonts w:ascii="Times New Roman" w:hAnsi="Times New Roman" w:cs="Times New Roman"/>
          <w:color w:val="000000"/>
        </w:rPr>
        <w:t>poslovni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javni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površine</w:t>
      </w:r>
      <w:r w:rsidRPr="00D36CF6">
        <w:rPr>
          <w:rFonts w:ascii="Times New Roman" w:hAnsi="Times New Roman" w:cs="Times New Roman"/>
          <w:color w:val="000000"/>
        </w:rPr>
        <w:t xml:space="preserve"> ≤150 m², </w:t>
      </w:r>
      <w:r w:rsidR="00A562F7">
        <w:rPr>
          <w:rFonts w:ascii="Times New Roman" w:hAnsi="Times New Roman" w:cs="Times New Roman"/>
          <w:color w:val="000000"/>
        </w:rPr>
        <w:t>specifičnog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opterećenja</w:t>
      </w:r>
      <w:r w:rsidRPr="00D36CF6">
        <w:rPr>
          <w:rFonts w:ascii="Times New Roman" w:hAnsi="Times New Roman" w:cs="Times New Roman"/>
          <w:color w:val="000000"/>
        </w:rPr>
        <w:t xml:space="preserve"> ≤360 </w:t>
      </w:r>
      <w:r w:rsidR="00A562F7">
        <w:rPr>
          <w:rFonts w:ascii="Times New Roman" w:hAnsi="Times New Roman" w:cs="Times New Roman"/>
          <w:color w:val="000000"/>
        </w:rPr>
        <w:t>MJ</w:t>
      </w:r>
      <w:r w:rsidRPr="00D36CF6">
        <w:rPr>
          <w:rFonts w:ascii="Times New Roman" w:hAnsi="Times New Roman" w:cs="Times New Roman"/>
          <w:color w:val="000000"/>
        </w:rPr>
        <w:t xml:space="preserve">/m²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konstrukcija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najmanje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srednjeg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stepena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otpornosti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ako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drugačije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određeno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3) </w:t>
      </w:r>
      <w:r w:rsidR="00A562F7">
        <w:rPr>
          <w:rFonts w:ascii="Times New Roman" w:hAnsi="Times New Roman" w:cs="Times New Roman"/>
          <w:color w:val="000000"/>
        </w:rPr>
        <w:t>poslovni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nivou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okolnog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terena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ukupne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površina</w:t>
      </w:r>
      <w:r w:rsidRPr="00D36CF6">
        <w:rPr>
          <w:rFonts w:ascii="Times New Roman" w:hAnsi="Times New Roman" w:cs="Times New Roman"/>
          <w:color w:val="000000"/>
        </w:rPr>
        <w:t xml:space="preserve"> ≤150 m²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pojedinačnog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specifičnog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opterećenja</w:t>
      </w:r>
      <w:r w:rsidRPr="00D36CF6">
        <w:rPr>
          <w:rFonts w:ascii="Times New Roman" w:hAnsi="Times New Roman" w:cs="Times New Roman"/>
          <w:color w:val="000000"/>
        </w:rPr>
        <w:t xml:space="preserve"> ≤360 </w:t>
      </w:r>
      <w:r w:rsidR="00A562F7">
        <w:rPr>
          <w:rFonts w:ascii="Times New Roman" w:hAnsi="Times New Roman" w:cs="Times New Roman"/>
          <w:color w:val="000000"/>
        </w:rPr>
        <w:t>MJ</w:t>
      </w:r>
      <w:r w:rsidRPr="00D36CF6">
        <w:rPr>
          <w:rFonts w:ascii="Times New Roman" w:hAnsi="Times New Roman" w:cs="Times New Roman"/>
          <w:color w:val="000000"/>
        </w:rPr>
        <w:t xml:space="preserve">/m²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ulazi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strane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kada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sastavu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poslovnog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javnog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stambenog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konstrukcija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najmanje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srednjeg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stepena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otpornosti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ako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drugačije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određeno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ako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takvim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prostorijama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mogu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gasiti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upotrebom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spoljne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4) </w:t>
      </w:r>
      <w:r w:rsidR="00A562F7">
        <w:rPr>
          <w:rFonts w:ascii="Times New Roman" w:hAnsi="Times New Roman" w:cs="Times New Roman"/>
          <w:color w:val="000000"/>
        </w:rPr>
        <w:t>skladišni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najmanje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srednji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stepen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otpornosti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požaru</w:t>
      </w:r>
      <w:r w:rsidRPr="00D36CF6">
        <w:rPr>
          <w:rFonts w:ascii="Times New Roman" w:hAnsi="Times New Roman" w:cs="Times New Roman"/>
          <w:color w:val="000000"/>
        </w:rPr>
        <w:t xml:space="preserve">, </w:t>
      </w:r>
      <w:r w:rsidR="00A562F7">
        <w:rPr>
          <w:rFonts w:ascii="Times New Roman" w:hAnsi="Times New Roman" w:cs="Times New Roman"/>
          <w:color w:val="000000"/>
        </w:rPr>
        <w:t>površinu</w:t>
      </w:r>
      <w:r w:rsidRPr="00D36CF6">
        <w:rPr>
          <w:rFonts w:ascii="Times New Roman" w:hAnsi="Times New Roman" w:cs="Times New Roman"/>
          <w:color w:val="000000"/>
        </w:rPr>
        <w:t xml:space="preserve"> ≤150 m²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specifično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opterećenje</w:t>
      </w:r>
      <w:r w:rsidRPr="00D36CF6">
        <w:rPr>
          <w:rFonts w:ascii="Times New Roman" w:hAnsi="Times New Roman" w:cs="Times New Roman"/>
          <w:color w:val="000000"/>
        </w:rPr>
        <w:t xml:space="preserve"> ≤360 </w:t>
      </w:r>
      <w:r w:rsidR="00A562F7">
        <w:rPr>
          <w:rFonts w:ascii="Times New Roman" w:hAnsi="Times New Roman" w:cs="Times New Roman"/>
          <w:color w:val="000000"/>
        </w:rPr>
        <w:t>MJ</w:t>
      </w:r>
      <w:r w:rsidRPr="00D36CF6">
        <w:rPr>
          <w:rFonts w:ascii="Times New Roman" w:hAnsi="Times New Roman" w:cs="Times New Roman"/>
          <w:color w:val="000000"/>
        </w:rPr>
        <w:t xml:space="preserve">/m², </w:t>
      </w:r>
      <w:r w:rsidR="00A562F7">
        <w:rPr>
          <w:rFonts w:ascii="Times New Roman" w:hAnsi="Times New Roman" w:cs="Times New Roman"/>
          <w:color w:val="000000"/>
        </w:rPr>
        <w:t>ako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nije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drugačije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određeno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5) </w:t>
      </w:r>
      <w:r w:rsidR="00A562F7">
        <w:rPr>
          <w:rFonts w:ascii="Times New Roman" w:hAnsi="Times New Roman" w:cs="Times New Roman"/>
          <w:color w:val="000000"/>
        </w:rPr>
        <w:t>industrijski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površinu</w:t>
      </w:r>
      <w:r w:rsidRPr="00D36CF6">
        <w:rPr>
          <w:rFonts w:ascii="Times New Roman" w:hAnsi="Times New Roman" w:cs="Times New Roman"/>
          <w:color w:val="000000"/>
        </w:rPr>
        <w:t xml:space="preserve"> ≤150 m²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proračunsko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opterećenje</w:t>
      </w:r>
      <w:r w:rsidRPr="00D36CF6">
        <w:rPr>
          <w:rFonts w:ascii="Times New Roman" w:hAnsi="Times New Roman" w:cs="Times New Roman"/>
          <w:color w:val="000000"/>
        </w:rPr>
        <w:t xml:space="preserve"> ≤100 kWh/m² </w:t>
      </w:r>
      <w:r w:rsidR="00A562F7">
        <w:rPr>
          <w:rFonts w:ascii="Times New Roman" w:hAnsi="Times New Roman" w:cs="Times New Roman"/>
          <w:color w:val="000000"/>
        </w:rPr>
        <w:t>utvrđeno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6) </w:t>
      </w:r>
      <w:r w:rsidR="00A562F7">
        <w:rPr>
          <w:rFonts w:ascii="Times New Roman" w:hAnsi="Times New Roman" w:cs="Times New Roman"/>
          <w:color w:val="000000"/>
        </w:rPr>
        <w:t>garaže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regulisane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čija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površina</w:t>
      </w:r>
      <w:r w:rsidRPr="00D36CF6">
        <w:rPr>
          <w:rFonts w:ascii="Times New Roman" w:hAnsi="Times New Roman" w:cs="Times New Roman"/>
          <w:color w:val="000000"/>
        </w:rPr>
        <w:t xml:space="preserve"> ≤150 m².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stvoriti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izazvati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požar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Unutrašnjom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razvrstati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članu</w:t>
      </w:r>
      <w:r w:rsidR="00D36CF6" w:rsidRPr="00D36CF6">
        <w:rPr>
          <w:rFonts w:ascii="Times New Roman" w:hAnsi="Times New Roman" w:cs="Times New Roman"/>
          <w:color w:val="000000"/>
        </w:rPr>
        <w:t xml:space="preserve"> 11. </w:t>
      </w:r>
      <w:r>
        <w:rPr>
          <w:rFonts w:ascii="Times New Roman" w:hAnsi="Times New Roman" w:cs="Times New Roman"/>
          <w:color w:val="000000"/>
        </w:rPr>
        <w:t>stav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uređeno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4.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Spoljašnjom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zahteva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posebnim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propisima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prostori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zahteva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lokacijskim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uslovima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pribavljaju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postupku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izgradnje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ili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kada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zahtevano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kroz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planske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dokumente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3) </w:t>
      </w:r>
      <w:r w:rsidR="00A562F7">
        <w:rPr>
          <w:rFonts w:ascii="Times New Roman" w:hAnsi="Times New Roman" w:cs="Times New Roman"/>
          <w:color w:val="000000"/>
        </w:rPr>
        <w:t>objekti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razvrstani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kategoriju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tehnološkog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procesa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ugroženosti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1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5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K1E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članu</w:t>
      </w:r>
      <w:r w:rsidRPr="00D36CF6">
        <w:rPr>
          <w:rFonts w:ascii="Times New Roman" w:hAnsi="Times New Roman" w:cs="Times New Roman"/>
          <w:color w:val="000000"/>
        </w:rPr>
        <w:t xml:space="preserve"> 11. </w:t>
      </w:r>
      <w:r w:rsidR="00A562F7">
        <w:rPr>
          <w:rFonts w:ascii="Times New Roman" w:hAnsi="Times New Roman" w:cs="Times New Roman"/>
          <w:color w:val="000000"/>
        </w:rPr>
        <w:t>stav</w:t>
      </w:r>
      <w:r w:rsidRPr="00D36CF6">
        <w:rPr>
          <w:rFonts w:ascii="Times New Roman" w:hAnsi="Times New Roman" w:cs="Times New Roman"/>
          <w:color w:val="000000"/>
        </w:rPr>
        <w:t xml:space="preserve"> 2;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4) </w:t>
      </w:r>
      <w:r w:rsidR="00A562F7">
        <w:rPr>
          <w:rFonts w:ascii="Times New Roman" w:hAnsi="Times New Roman" w:cs="Times New Roman"/>
          <w:color w:val="000000"/>
        </w:rPr>
        <w:t>naseljena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mesta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kojima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postoji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javna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vodovodna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  <w:r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Spoljašnjom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razvrstati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članu</w:t>
      </w:r>
      <w:r w:rsidR="00D36CF6" w:rsidRPr="00D36CF6">
        <w:rPr>
          <w:rFonts w:ascii="Times New Roman" w:hAnsi="Times New Roman" w:cs="Times New Roman"/>
          <w:color w:val="000000"/>
        </w:rPr>
        <w:t xml:space="preserve"> 11. </w:t>
      </w:r>
      <w:r>
        <w:rPr>
          <w:rFonts w:ascii="Times New Roman" w:hAnsi="Times New Roman" w:cs="Times New Roman"/>
          <w:color w:val="000000"/>
        </w:rPr>
        <w:t>stav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uređeno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II. </w:t>
      </w:r>
      <w:r w:rsidR="00A562F7">
        <w:rPr>
          <w:rFonts w:ascii="Times New Roman" w:hAnsi="Times New Roman" w:cs="Times New Roman"/>
          <w:color w:val="000000"/>
        </w:rPr>
        <w:t>POUZDANI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IZVORI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SNABDEVANjE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INSTALACIJE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VODOM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POTREBNA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KOLIČINA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GAŠENjE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5.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Parametri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dokumentuju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priključenje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imalac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minimalnom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raspoloživoj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priključenja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Parametri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dokumentuju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elaborat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izdašnosti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bunara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karakteristike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projektovanog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rezervoara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>.).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Uslovi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D36CF6" w:rsidRPr="00D36CF6">
        <w:rPr>
          <w:rFonts w:ascii="Times New Roman" w:hAnsi="Times New Roman" w:cs="Times New Roman"/>
          <w:color w:val="000000"/>
        </w:rPr>
        <w:t xml:space="preserve">. 2.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6.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razdvajanje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zasebnih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vodomera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kopanih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bušenih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bunara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priliv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bunar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crpljenjem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sušnog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perioda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bunara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rezervoara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crpljenje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bunara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bazena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rezervoara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koristi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pumpa</w:t>
      </w:r>
      <w:r w:rsidR="00D36CF6" w:rsidRPr="00D36CF6"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ugroze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pumpu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rezervoari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zamrzavanja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7.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Prilazni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platoi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nosivost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zahvatanje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meteorološke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obeleženi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označeni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Stanica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zahvatanje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rezervnu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8.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Stanica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hidroloških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period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15 </w:t>
      </w:r>
      <w:r>
        <w:rPr>
          <w:rFonts w:ascii="Times New Roman" w:hAnsi="Times New Roman" w:cs="Times New Roman"/>
          <w:color w:val="000000"/>
        </w:rPr>
        <w:t>godina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Svaka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2000 </w:t>
      </w:r>
      <w:r>
        <w:rPr>
          <w:rFonts w:ascii="Times New Roman" w:hAnsi="Times New Roman" w:cs="Times New Roman"/>
          <w:color w:val="000000"/>
        </w:rPr>
        <w:t>stanovnika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9.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Instalacija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onemogući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zamrzavanje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postiže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ukopavanjem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dubini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minimum</w:t>
      </w:r>
      <w:r w:rsidR="00D36CF6" w:rsidRPr="00D36CF6">
        <w:rPr>
          <w:rFonts w:ascii="Times New Roman" w:hAnsi="Times New Roman" w:cs="Times New Roman"/>
          <w:color w:val="000000"/>
        </w:rPr>
        <w:t xml:space="preserve"> 0,80 m </w:t>
      </w:r>
      <w:r>
        <w:rPr>
          <w:rFonts w:ascii="Times New Roman" w:hAnsi="Times New Roman" w:cs="Times New Roman"/>
          <w:color w:val="000000"/>
        </w:rPr>
        <w:t>mereno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vrha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adekvatan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10.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Javna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stanovnika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računskog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istovremenih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abele</w:t>
      </w:r>
      <w:r w:rsidR="00D36CF6" w:rsidRPr="00D36CF6">
        <w:rPr>
          <w:rFonts w:ascii="Times New Roman" w:hAnsi="Times New Roman" w:cs="Times New Roman"/>
          <w:color w:val="000000"/>
        </w:rPr>
        <w:t xml:space="preserve"> 1.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D36CF6" w:rsidRPr="00D36CF6">
        <w:rPr>
          <w:rFonts w:ascii="Times New Roman" w:hAnsi="Times New Roman" w:cs="Times New Roman"/>
          <w:color w:val="000000"/>
        </w:rPr>
        <w:t xml:space="preserve"> 1.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024"/>
        <w:gridCol w:w="3122"/>
        <w:gridCol w:w="2982"/>
      </w:tblGrid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Broj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stanovnika</w:t>
            </w:r>
          </w:p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b/>
                <w:color w:val="000000"/>
              </w:rPr>
              <w:t>[10³]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Računski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broj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istovremenih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požara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Najmanja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količina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vode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jednom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požaru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bez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obzira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otpornost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objekta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prema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požaru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[l/s]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11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26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51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101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201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301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400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401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500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501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600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lastRenderedPageBreak/>
              <w:t xml:space="preserve">601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701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800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801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1000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 xml:space="preserve">1001 </w:t>
            </w:r>
            <w:r w:rsidR="00A562F7">
              <w:rPr>
                <w:rFonts w:ascii="Times New Roman" w:hAnsi="Times New Roman" w:cs="Times New Roman"/>
                <w:color w:val="000000"/>
              </w:rPr>
              <w:t>do</w:t>
            </w:r>
            <w:r w:rsidRPr="00D36CF6">
              <w:rPr>
                <w:rFonts w:ascii="Times New Roman" w:hAnsi="Times New Roman" w:cs="Times New Roman"/>
                <w:color w:val="000000"/>
              </w:rPr>
              <w:t xml:space="preserve"> 2000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</w:tbl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podeljeno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sobom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računski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istovremenih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stanovnika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11.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1) </w:t>
      </w:r>
      <w:r w:rsidR="00A562F7">
        <w:rPr>
          <w:rFonts w:ascii="Times New Roman" w:hAnsi="Times New Roman" w:cs="Times New Roman"/>
          <w:color w:val="000000"/>
        </w:rPr>
        <w:t>stepena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otpornosti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konstrukcije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požaru</w:t>
      </w:r>
      <w:r w:rsidRPr="00D36CF6">
        <w:rPr>
          <w:rFonts w:ascii="Times New Roman" w:hAnsi="Times New Roman" w:cs="Times New Roman"/>
          <w:color w:val="000000"/>
        </w:rPr>
        <w:t>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2) </w:t>
      </w:r>
      <w:r w:rsidR="00A562F7">
        <w:rPr>
          <w:rFonts w:ascii="Times New Roman" w:hAnsi="Times New Roman" w:cs="Times New Roman"/>
          <w:color w:val="000000"/>
        </w:rPr>
        <w:t>kategorije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tehnološkog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procesa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prema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ugroženosti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požara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koju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svrstava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taj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objekat</w:t>
      </w:r>
      <w:r w:rsidRPr="00D36CF6">
        <w:rPr>
          <w:rFonts w:ascii="Times New Roman" w:hAnsi="Times New Roman" w:cs="Times New Roman"/>
          <w:color w:val="000000"/>
        </w:rPr>
        <w:t xml:space="preserve"> (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1 </w:t>
      </w:r>
      <w:r w:rsidR="00A562F7">
        <w:rPr>
          <w:rFonts w:ascii="Times New Roman" w:hAnsi="Times New Roman" w:cs="Times New Roman"/>
          <w:color w:val="000000"/>
        </w:rPr>
        <w:t>do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 xml:space="preserve">5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K</w:t>
      </w:r>
      <w:r w:rsidRPr="00D36CF6">
        <w:rPr>
          <w:rFonts w:ascii="Times New Roman" w:hAnsi="Times New Roman" w:cs="Times New Roman"/>
          <w:color w:val="000000"/>
        </w:rPr>
        <w:t>1</w:t>
      </w:r>
      <w:r w:rsidR="00A562F7">
        <w:rPr>
          <w:rFonts w:ascii="Times New Roman" w:hAnsi="Times New Roman" w:cs="Times New Roman"/>
          <w:color w:val="000000"/>
        </w:rPr>
        <w:t>E</w:t>
      </w:r>
      <w:r w:rsidRPr="00D36CF6">
        <w:rPr>
          <w:rFonts w:ascii="Times New Roman" w:hAnsi="Times New Roman" w:cs="Times New Roman"/>
          <w:color w:val="000000"/>
        </w:rPr>
        <w:t>);</w:t>
      </w:r>
    </w:p>
    <w:p w:rsidR="00AF658B" w:rsidRPr="00D36CF6" w:rsidRDefault="00D36CF6">
      <w:pPr>
        <w:spacing w:after="150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3) </w:t>
      </w:r>
      <w:r w:rsidR="00A562F7">
        <w:rPr>
          <w:rFonts w:ascii="Times New Roman" w:hAnsi="Times New Roman" w:cs="Times New Roman"/>
          <w:color w:val="000000"/>
        </w:rPr>
        <w:t>zapremine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objekta</w:t>
      </w:r>
      <w:r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Simboli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Tabeli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imaju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značenja</w:t>
      </w:r>
      <w:r w:rsidR="00D36CF6" w:rsidRPr="00D36CF6">
        <w:rPr>
          <w:rFonts w:ascii="Times New Roman" w:hAnsi="Times New Roman" w:cs="Times New Roman"/>
          <w:color w:val="000000"/>
        </w:rPr>
        <w:t>: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1 –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zapaljivih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1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2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praškastih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primarnih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normalnom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10% </w:t>
      </w:r>
      <w:r>
        <w:rPr>
          <w:rFonts w:ascii="Times New Roman" w:hAnsi="Times New Roman" w:cs="Times New Roman"/>
          <w:color w:val="000000"/>
        </w:rPr>
        <w:t>DGE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razvijaju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zapaljive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prašine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puderi</w:t>
      </w:r>
      <w:r w:rsidR="00D36CF6" w:rsidRPr="00D36CF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temperaturom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tinjanja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350 º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temperaturom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450 º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viskoznih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vlakana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ekstrakciju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benzinom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hidriranje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rekuperaciju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rektifikaciju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organskih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rastvarača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ugljen</w:t>
      </w:r>
      <w:r w:rsidR="00D36CF6" w:rsidRPr="00D36CF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disulfida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etra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acetona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oksidansi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neorganski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peroksidi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hlorati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perhlorati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jodati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perjodati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perbromati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hromati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bihromati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30 min.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E</w:t>
      </w:r>
      <w:r w:rsidR="00D36CF6" w:rsidRPr="00D36CF6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oksidansi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neorganski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peroksidi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hlorati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perhlorati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jodati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perjodati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perbromati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hromati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bihromati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90 min.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2 –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3,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prašine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temeperaturom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tinjanja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D36CF6" w:rsidRPr="00D36CF6">
        <w:rPr>
          <w:rFonts w:ascii="Times New Roman" w:hAnsi="Times New Roman" w:cs="Times New Roman"/>
          <w:color w:val="000000"/>
        </w:rPr>
        <w:t xml:space="preserve"> 350 º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temperaturom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D36CF6" w:rsidRPr="00D36CF6">
        <w:rPr>
          <w:rFonts w:ascii="Times New Roman" w:hAnsi="Times New Roman" w:cs="Times New Roman"/>
          <w:color w:val="000000"/>
        </w:rPr>
        <w:t xml:space="preserve"> 450 º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pumpna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D36CF6" w:rsidRPr="00D36CF6">
        <w:rPr>
          <w:rFonts w:ascii="Times New Roman" w:hAnsi="Times New Roman" w:cs="Times New Roman"/>
          <w:color w:val="000000"/>
        </w:rPr>
        <w:t xml:space="preserve"> 60 ºC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100 ºC,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ugljena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prašina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drvene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strugotine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brašno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šećer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prahu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sintetički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kaučuk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prahu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velika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srednja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gume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D36CF6" w:rsidRPr="00D36CF6">
        <w:rPr>
          <w:rFonts w:ascii="Times New Roman" w:hAnsi="Times New Roman" w:cs="Times New Roman"/>
          <w:color w:val="000000"/>
        </w:rPr>
        <w:t xml:space="preserve"> 30 m,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500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3 –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100 ºC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300 ºC, </w:t>
      </w:r>
      <w:r>
        <w:rPr>
          <w:rFonts w:ascii="Times New Roman" w:hAnsi="Times New Roman" w:cs="Times New Roman"/>
          <w:color w:val="000000"/>
        </w:rPr>
        <w:t>gorive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čvrste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temperature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300 ºC,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mehaničku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drveta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hartije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tekstila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regeneraciju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podmazivanje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lastRenderedPageBreak/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maziva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sredstva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transport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uglja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zatvorena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uglja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pumpne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100 ºC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300 ºC, </w:t>
      </w:r>
      <w:r>
        <w:rPr>
          <w:rFonts w:ascii="Times New Roman" w:hAnsi="Times New Roman" w:cs="Times New Roman"/>
          <w:color w:val="000000"/>
        </w:rPr>
        <w:t>srednje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garaže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srednja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22 m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30 m,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200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500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4 –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D36CF6" w:rsidRPr="00D36CF6">
        <w:rPr>
          <w:rFonts w:ascii="Times New Roman" w:hAnsi="Times New Roman" w:cs="Times New Roman"/>
          <w:color w:val="000000"/>
        </w:rPr>
        <w:t xml:space="preserve"> 300 º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čvrstim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D36CF6" w:rsidRPr="00D36CF6">
        <w:rPr>
          <w:rFonts w:ascii="Times New Roman" w:hAnsi="Times New Roman" w:cs="Times New Roman"/>
          <w:color w:val="000000"/>
        </w:rPr>
        <w:t xml:space="preserve"> 300 ºC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zagrejanom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razmekšanom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rastopljenom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oslobađa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praćena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iskrama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plamenom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topljenje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livenje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metala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gasno</w:t>
      </w:r>
      <w:r w:rsidR="00D36CF6" w:rsidRPr="00D36CF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generatorsk</w:t>
      </w:r>
      <w:r w:rsidR="00D36CF6" w:rsidRPr="00D36CF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postrojenja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ispitivanje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sagorevanjem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kotlarnice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komandne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zgrade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elektroenergetskim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postrojenjima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sagoreva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čvrsto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tečno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gasovito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gorivo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garaže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100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200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nepokretni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bolesnici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22 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5 – </w:t>
      </w:r>
      <w:r>
        <w:rPr>
          <w:rFonts w:ascii="Times New Roman" w:hAnsi="Times New Roman" w:cs="Times New Roman"/>
          <w:color w:val="000000"/>
        </w:rPr>
        <w:t>predstavlja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spadaju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hladnim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mokrim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primer</w:t>
      </w:r>
      <w:r w:rsidR="00D36CF6" w:rsidRPr="00D36CF6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mehaničku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metala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kompresorske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mokra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odeljenja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tekstila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hartije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hladnu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minerala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azbesta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soli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ribe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mlečnih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100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12.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D36CF6" w:rsidRPr="00D36CF6">
        <w:rPr>
          <w:rFonts w:ascii="Times New Roman" w:hAnsi="Times New Roman" w:cs="Times New Roman"/>
          <w:color w:val="000000"/>
        </w:rPr>
        <w:t xml:space="preserve"> [l/s]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zapremine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abeli</w:t>
      </w:r>
      <w:r w:rsidR="00D36CF6" w:rsidRPr="00D36CF6">
        <w:rPr>
          <w:rFonts w:ascii="Times New Roman" w:hAnsi="Times New Roman" w:cs="Times New Roman"/>
          <w:color w:val="000000"/>
        </w:rPr>
        <w:t xml:space="preserve"> 2.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D36CF6" w:rsidRPr="00D36CF6">
        <w:rPr>
          <w:rFonts w:ascii="Times New Roman" w:hAnsi="Times New Roman" w:cs="Times New Roman"/>
          <w:color w:val="000000"/>
        </w:rPr>
        <w:t xml:space="preserve"> 2.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200"/>
        <w:gridCol w:w="1304"/>
        <w:gridCol w:w="648"/>
        <w:gridCol w:w="648"/>
        <w:gridCol w:w="719"/>
        <w:gridCol w:w="719"/>
        <w:gridCol w:w="934"/>
        <w:gridCol w:w="934"/>
        <w:gridCol w:w="1022"/>
      </w:tblGrid>
      <w:tr w:rsidR="00AF658B" w:rsidRPr="00D36CF6">
        <w:trPr>
          <w:trHeight w:val="45"/>
          <w:tblCellSpacing w:w="0" w:type="auto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Kategorija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tehnološkog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procesa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prema</w:t>
            </w:r>
            <w:r w:rsidR="00D36CF6" w:rsidRPr="00D36CF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ugroženosti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Stepen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otpornosti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objekta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Zapremina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objekta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koji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štiti</w:t>
            </w:r>
          </w:p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[103 m3]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200</w:t>
            </w:r>
          </w:p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400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više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400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vode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instalacije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spoljne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unutrašnje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hidrantske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mreže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gašenje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potrebne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jedan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objekat</w:t>
            </w:r>
          </w:p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[l/s]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K1, K1E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K1, K1E, K2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K2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IV, V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K3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IV, V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K4, K5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IV, V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58B" w:rsidRPr="00D36CF6" w:rsidRDefault="00AF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podela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segmente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zapremine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najvećeg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segmenta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definisan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SOP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Tabele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utvrđuje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SOP</w:t>
      </w:r>
      <w:r w:rsidR="00D36CF6" w:rsidRPr="00D36CF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usvaja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bazi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najniže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projektovane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nosećih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SRPS U.</w:t>
      </w:r>
      <w:r>
        <w:rPr>
          <w:rFonts w:ascii="Times New Roman" w:hAnsi="Times New Roman" w:cs="Times New Roman"/>
          <w:color w:val="000000"/>
        </w:rPr>
        <w:t>J</w:t>
      </w:r>
      <w:r w:rsidR="00D36CF6" w:rsidRPr="00D36CF6">
        <w:rPr>
          <w:rFonts w:ascii="Times New Roman" w:hAnsi="Times New Roman" w:cs="Times New Roman"/>
          <w:color w:val="000000"/>
        </w:rPr>
        <w:t>1.240:1995.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svrstanih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E</w:t>
      </w:r>
      <w:r w:rsidR="00D36CF6" w:rsidRPr="00D36CF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120 min </w:t>
      </w:r>
      <w:r>
        <w:rPr>
          <w:rFonts w:ascii="Times New Roman" w:hAnsi="Times New Roman" w:cs="Times New Roman"/>
          <w:color w:val="000000"/>
        </w:rPr>
        <w:t>korišćenjem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kombinovano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zbir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120 min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III. </w:t>
      </w:r>
      <w:r w:rsidR="00A562F7">
        <w:rPr>
          <w:rFonts w:ascii="Times New Roman" w:hAnsi="Times New Roman" w:cs="Times New Roman"/>
          <w:color w:val="000000"/>
        </w:rPr>
        <w:t>SPOLjNA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Spoljna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preduzeća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zemljištu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pešačke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parkovi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trotoari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</w:t>
      </w:r>
      <w:r w:rsidR="00D36CF6" w:rsidRPr="00D36CF6">
        <w:rPr>
          <w:rFonts w:ascii="Times New Roman" w:hAnsi="Times New Roman" w:cs="Times New Roman"/>
          <w:color w:val="000000"/>
        </w:rPr>
        <w:t xml:space="preserve">.),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kompleksa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vlasništvu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privrednog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fizičkog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prstenasti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Ø 100 mm.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dozvoljava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slepog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Ø 80 mm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dužine</w:t>
      </w:r>
      <w:r w:rsidR="00D36CF6" w:rsidRPr="00D36CF6">
        <w:rPr>
          <w:rFonts w:ascii="Times New Roman" w:hAnsi="Times New Roman" w:cs="Times New Roman"/>
          <w:color w:val="000000"/>
        </w:rPr>
        <w:t xml:space="preserve"> ≤ 80 m,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je </w:t>
      </w:r>
      <w:r>
        <w:rPr>
          <w:rFonts w:ascii="Times New Roman" w:hAnsi="Times New Roman" w:cs="Times New Roman"/>
          <w:color w:val="000000"/>
        </w:rPr>
        <w:t>potrebna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&lt; 10 l/s.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Prstenasti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zatvaračima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kvara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prstena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zatvaranje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utiče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prstena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ukopani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14.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kompleksa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D36CF6" w:rsidRPr="00D36CF6">
        <w:rPr>
          <w:rFonts w:ascii="Times New Roman" w:hAnsi="Times New Roman" w:cs="Times New Roman"/>
          <w:color w:val="000000"/>
        </w:rPr>
        <w:t xml:space="preserve"> 80 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naseljenog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planskim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dokumentima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pretežno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stambeni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D36CF6" w:rsidRPr="00D36CF6">
        <w:rPr>
          <w:rFonts w:ascii="Times New Roman" w:hAnsi="Times New Roman" w:cs="Times New Roman"/>
          <w:color w:val="000000"/>
        </w:rPr>
        <w:t xml:space="preserve"> 150 m,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celinama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slobodnostojećim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porodičnim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stambenim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D36CF6" w:rsidRPr="00D36CF6">
        <w:rPr>
          <w:rFonts w:ascii="Times New Roman" w:hAnsi="Times New Roman" w:cs="Times New Roman"/>
          <w:color w:val="000000"/>
        </w:rPr>
        <w:t xml:space="preserve"> 300 m.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15.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</w:t>
      </w:r>
      <w:r w:rsidR="00D36CF6" w:rsidRPr="00D36CF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namenjenog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5 m,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D36CF6" w:rsidRPr="00D36CF6">
        <w:rPr>
          <w:rFonts w:ascii="Times New Roman" w:hAnsi="Times New Roman" w:cs="Times New Roman"/>
          <w:color w:val="000000"/>
        </w:rPr>
        <w:t xml:space="preserve"> 80 m, 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Potreban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veličine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karakteristika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celokupan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16.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vodovodnu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cevovode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spoljni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ometaju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omogućeno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efikasno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ostvariti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ugrađuju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Ø 80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Ø 100.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zamrznuti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oštetiti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zamrzavanja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oštećenja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Smatra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proizvedeni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14384,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14339, </w:t>
      </w:r>
      <w:r>
        <w:rPr>
          <w:rFonts w:ascii="Times New Roman" w:hAnsi="Times New Roman" w:cs="Times New Roman"/>
          <w:color w:val="000000"/>
        </w:rPr>
        <w:t>što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usaglašenosti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izabrani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17.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Najmanji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nadzemnog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2,5 bar.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Potreban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položajem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 l/s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2,5 bar.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18.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Mesto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16. </w:t>
      </w:r>
      <w:r>
        <w:rPr>
          <w:rFonts w:ascii="Times New Roman" w:hAnsi="Times New Roman" w:cs="Times New Roman"/>
          <w:color w:val="000000"/>
        </w:rPr>
        <w:t>stav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označiti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uočljiv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Smatra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</w:t>
      </w:r>
      <w:r w:rsidR="00D36CF6" w:rsidRPr="00D36CF6">
        <w:rPr>
          <w:rFonts w:ascii="Times New Roman" w:hAnsi="Times New Roman" w:cs="Times New Roman"/>
          <w:color w:val="000000"/>
        </w:rPr>
        <w:t xml:space="preserve">a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označavanje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standarda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14339.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blizini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mlaznicama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armaturama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reduciri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razdelnice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>.).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IV. </w:t>
      </w:r>
      <w:r w:rsidR="00A562F7">
        <w:rPr>
          <w:rFonts w:ascii="Times New Roman" w:hAnsi="Times New Roman" w:cs="Times New Roman"/>
          <w:color w:val="000000"/>
        </w:rPr>
        <w:t>UNUTRAŠNjA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MREŽA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19.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stambenim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poslovnim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pogonima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zasebna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zajednička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piće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zasebnoj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procesu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20.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Cevovod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ventila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abelom</w:t>
      </w:r>
      <w:r w:rsidR="00D36CF6" w:rsidRPr="00D36CF6">
        <w:rPr>
          <w:rFonts w:ascii="Times New Roman" w:hAnsi="Times New Roman" w:cs="Times New Roman"/>
          <w:color w:val="000000"/>
        </w:rPr>
        <w:t xml:space="preserve"> 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D36CF6" w:rsidRPr="00D36CF6">
        <w:rPr>
          <w:rFonts w:ascii="Times New Roman" w:hAnsi="Times New Roman" w:cs="Times New Roman"/>
          <w:color w:val="000000"/>
        </w:rPr>
        <w:t xml:space="preserve"> 3.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489"/>
        <w:gridCol w:w="1408"/>
        <w:gridCol w:w="2322"/>
        <w:gridCol w:w="2322"/>
        <w:gridCol w:w="1587"/>
      </w:tblGrid>
      <w:tr w:rsidR="00AF658B" w:rsidRPr="00D36CF6">
        <w:trPr>
          <w:trHeight w:val="45"/>
          <w:tblCellSpacing w:w="0" w:type="auto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Visina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objekta</w:t>
            </w:r>
          </w:p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b/>
                <w:color w:val="000000"/>
              </w:rPr>
              <w:t>[m]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22*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22 </w:t>
            </w:r>
            <w:r>
              <w:rPr>
                <w:rFonts w:ascii="Times New Roman" w:hAnsi="Times New Roman" w:cs="Times New Roman"/>
                <w:b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40*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40 </w:t>
            </w:r>
            <w:r>
              <w:rPr>
                <w:rFonts w:ascii="Times New Roman" w:hAnsi="Times New Roman" w:cs="Times New Roman"/>
                <w:b/>
                <w:color w:val="000000"/>
              </w:rPr>
              <w:t>do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75*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iznad</w:t>
            </w:r>
            <w:r w:rsidR="00D36CF6" w:rsidRPr="00D36CF6">
              <w:rPr>
                <w:rFonts w:ascii="Times New Roman" w:hAnsi="Times New Roman" w:cs="Times New Roman"/>
                <w:b/>
                <w:color w:val="000000"/>
              </w:rPr>
              <w:t xml:space="preserve"> 75</w:t>
            </w:r>
          </w:p>
        </w:tc>
      </w:tr>
      <w:tr w:rsidR="00AF658B" w:rsidRPr="00D36CF6">
        <w:trPr>
          <w:trHeight w:val="45"/>
          <w:tblCellSpacing w:w="0" w:type="auto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A562F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  <w:r w:rsidR="00D36CF6" w:rsidRPr="00D36C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vode</w:t>
            </w:r>
          </w:p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[l/s]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58B" w:rsidRPr="00D36CF6" w:rsidRDefault="00D36CF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6CF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</w:tbl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Napomena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: * </w:t>
      </w:r>
      <w:r>
        <w:rPr>
          <w:rFonts w:ascii="Times New Roman" w:hAnsi="Times New Roman" w:cs="Times New Roman"/>
          <w:i/>
          <w:color w:val="000000"/>
        </w:rPr>
        <w:t>označava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da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je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uključena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i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ta</w:t>
      </w:r>
      <w:r w:rsidR="00D36CF6" w:rsidRPr="00D36CF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vrednost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Najniži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mlaznici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2,5 bar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Tabeli</w:t>
      </w:r>
      <w:r w:rsidR="00D36CF6" w:rsidRPr="00D36CF6">
        <w:rPr>
          <w:rFonts w:ascii="Times New Roman" w:hAnsi="Times New Roman" w:cs="Times New Roman"/>
          <w:color w:val="000000"/>
        </w:rPr>
        <w:t xml:space="preserve"> 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Maksimalni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statički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7 bar.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21.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</w:t>
      </w:r>
      <w:r w:rsidR="00D36CF6" w:rsidRPr="00D36CF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omogućeno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efikasno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standardu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671-2, </w:t>
      </w:r>
      <w:r>
        <w:rPr>
          <w:rFonts w:ascii="Times New Roman" w:hAnsi="Times New Roman" w:cs="Times New Roman"/>
          <w:color w:val="000000"/>
        </w:rPr>
        <w:t>što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usaglašenosti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stambenim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 </w:t>
      </w:r>
      <w:r>
        <w:rPr>
          <w:rFonts w:ascii="Times New Roman" w:hAnsi="Times New Roman" w:cs="Times New Roman"/>
          <w:color w:val="000000"/>
        </w:rPr>
        <w:t>nadzemnih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standardom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671-1, </w:t>
      </w:r>
      <w:r>
        <w:rPr>
          <w:rFonts w:ascii="Times New Roman" w:hAnsi="Times New Roman" w:cs="Times New Roman"/>
          <w:color w:val="000000"/>
        </w:rPr>
        <w:t>što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usaglašenosti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još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prečnika</w:t>
      </w:r>
      <w:r w:rsidR="00D36CF6" w:rsidRPr="00D36CF6">
        <w:rPr>
          <w:rFonts w:ascii="Times New Roman" w:hAnsi="Times New Roman" w:cs="Times New Roman"/>
          <w:color w:val="000000"/>
        </w:rPr>
        <w:t xml:space="preserve"> Ø 52 mm.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ormare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22.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pocinkovane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čelične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prečnika</w:t>
      </w:r>
      <w:r w:rsidR="00D36CF6" w:rsidRPr="00D36CF6">
        <w:rPr>
          <w:rFonts w:ascii="Times New Roman" w:hAnsi="Times New Roman" w:cs="Times New Roman"/>
          <w:color w:val="000000"/>
        </w:rPr>
        <w:t xml:space="preserve"> Ø52 mm.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Cevovodi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izloženi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udaru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motornih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garažama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skladištima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.), </w:t>
      </w:r>
      <w:r>
        <w:rPr>
          <w:rFonts w:ascii="Times New Roman" w:hAnsi="Times New Roman" w:cs="Times New Roman"/>
          <w:color w:val="000000"/>
        </w:rPr>
        <w:t>zamrzavanju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uticajima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štetnog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Cevovod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obuhvatiti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standardu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671-2 </w:t>
      </w:r>
      <w:r>
        <w:rPr>
          <w:rFonts w:ascii="Times New Roman" w:hAnsi="Times New Roman" w:cs="Times New Roman"/>
          <w:color w:val="000000"/>
        </w:rPr>
        <w:t>međusobno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celokupan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uračunavajući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15 m </w:t>
      </w:r>
      <w:r>
        <w:rPr>
          <w:rFonts w:ascii="Times New Roman" w:hAnsi="Times New Roman" w:cs="Times New Roman"/>
          <w:color w:val="000000"/>
        </w:rPr>
        <w:t>odnosno</w:t>
      </w:r>
      <w:r w:rsidR="00D36CF6" w:rsidRPr="00D36CF6">
        <w:rPr>
          <w:rFonts w:ascii="Times New Roman" w:hAnsi="Times New Roman" w:cs="Times New Roman"/>
          <w:color w:val="000000"/>
        </w:rPr>
        <w:t xml:space="preserve"> 20 m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 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standardu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671-1 </w:t>
      </w:r>
      <w:r>
        <w:rPr>
          <w:rFonts w:ascii="Times New Roman" w:hAnsi="Times New Roman" w:cs="Times New Roman"/>
          <w:color w:val="000000"/>
        </w:rPr>
        <w:t>međusobno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celokupan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uračunavajući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30 m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 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Prostorij</w:t>
      </w:r>
      <w:r w:rsidR="00D36CF6" w:rsidRPr="00D36CF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visokim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500 m²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onoliko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jednovremeno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štititi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obližnji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hodnika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Smatra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12 m (</w:t>
      </w:r>
      <w:r>
        <w:rPr>
          <w:rFonts w:ascii="Times New Roman" w:hAnsi="Times New Roman" w:cs="Times New Roman"/>
          <w:color w:val="000000"/>
        </w:rPr>
        <w:t>bine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pozorišta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sportske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</w:t>
      </w:r>
      <w:r w:rsidR="00D36CF6" w:rsidRPr="00D36CF6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ispunjen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pokrivena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uračunavajući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15 m </w:t>
      </w:r>
      <w:r>
        <w:rPr>
          <w:rFonts w:ascii="Times New Roman" w:hAnsi="Times New Roman" w:cs="Times New Roman"/>
          <w:color w:val="000000"/>
        </w:rPr>
        <w:t>odnosno</w:t>
      </w:r>
      <w:r w:rsidR="00D36CF6" w:rsidRPr="00D36CF6">
        <w:rPr>
          <w:rFonts w:ascii="Times New Roman" w:hAnsi="Times New Roman" w:cs="Times New Roman"/>
          <w:color w:val="000000"/>
        </w:rPr>
        <w:t xml:space="preserve"> 20 m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5 m,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raspoređeni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obimnim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prizemlja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galerije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balkona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5.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obimnim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galerija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balkona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unutrašnji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prizemlja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odnosno</w:t>
      </w:r>
      <w:r w:rsidR="00D36CF6" w:rsidRPr="00D36CF6">
        <w:rPr>
          <w:rFonts w:ascii="Times New Roman" w:hAnsi="Times New Roman" w:cs="Times New Roman"/>
          <w:color w:val="000000"/>
        </w:rPr>
        <w:t xml:space="preserve"> 1,5 m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D36CF6" w:rsidRPr="00D36CF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24.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Hidrantski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hodnike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prolaze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stepenišne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evakuaciione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blizini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uočljivom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ometaju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blizini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Hidrantski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ventil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visini</w:t>
      </w:r>
      <w:r w:rsidR="00D36CF6" w:rsidRPr="00D36CF6">
        <w:rPr>
          <w:rFonts w:ascii="Times New Roman" w:hAnsi="Times New Roman" w:cs="Times New Roman"/>
          <w:color w:val="000000"/>
        </w:rPr>
        <w:t xml:space="preserve"> 1,5 m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V. </w:t>
      </w:r>
      <w:r w:rsidR="00A562F7">
        <w:rPr>
          <w:rFonts w:ascii="Times New Roman" w:hAnsi="Times New Roman" w:cs="Times New Roman"/>
          <w:color w:val="000000"/>
        </w:rPr>
        <w:t>UREĐAJ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PODIZANjE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PRITISKA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HIDRANTSKOJ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MREŽI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25.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postići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kompleks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smešten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izdvojena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120 min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90 min.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26.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obilazni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rasteretni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automatski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start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mogućnost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ručnog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aktiviranja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mogućnost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svakodnevne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automatske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pumpi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test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D36CF6" w:rsidRPr="00D36CF6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signalizaciju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kvara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vizuelne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svakodnevne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funkcioniše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bazi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kontroliše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vizuelno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svakodnevno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ručnim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uključivanjem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petnaest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dozvoljenog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umanjiti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27.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automatski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uključivati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 w:rsidR="00D36CF6" w:rsidRPr="00D36CF6">
        <w:rPr>
          <w:rFonts w:ascii="Times New Roman" w:hAnsi="Times New Roman" w:cs="Times New Roman"/>
          <w:color w:val="000000"/>
        </w:rPr>
        <w:t xml:space="preserve">5, </w:t>
      </w:r>
      <w:r>
        <w:rPr>
          <w:rFonts w:ascii="Times New Roman" w:hAnsi="Times New Roman" w:cs="Times New Roman"/>
          <w:color w:val="000000"/>
        </w:rPr>
        <w:t>uređaj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kabla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kućne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kutije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fasadi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označena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crvenom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dijagonalnom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crtom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komponenti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podizanje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izloženi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karakteristike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funkcionisati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36CF6" w:rsidRPr="00D36CF6">
        <w:rPr>
          <w:rFonts w:ascii="Times New Roman" w:hAnsi="Times New Roman" w:cs="Times New Roman"/>
          <w:color w:val="000000"/>
        </w:rPr>
        <w:t xml:space="preserve"> 120 min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usaglašenosti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Rezervni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ručnim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uključivanjem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petnaest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VI. </w:t>
      </w:r>
      <w:r w:rsidR="00A562F7">
        <w:rPr>
          <w:rFonts w:ascii="Times New Roman" w:hAnsi="Times New Roman" w:cs="Times New Roman"/>
          <w:color w:val="000000"/>
        </w:rPr>
        <w:t>SUVI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VOD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MOKRO</w:t>
      </w:r>
      <w:r w:rsidRPr="00D36CF6">
        <w:rPr>
          <w:rFonts w:ascii="Times New Roman" w:hAnsi="Times New Roman" w:cs="Times New Roman"/>
          <w:color w:val="000000"/>
        </w:rPr>
        <w:t>-</w:t>
      </w:r>
      <w:r w:rsidR="00A562F7">
        <w:rPr>
          <w:rFonts w:ascii="Times New Roman" w:hAnsi="Times New Roman" w:cs="Times New Roman"/>
          <w:color w:val="000000"/>
        </w:rPr>
        <w:t>SUVE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UNUTRAŠNjE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HIDRANTSKE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MREŽE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28.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20. </w:t>
      </w:r>
      <w:r>
        <w:rPr>
          <w:rFonts w:ascii="Times New Roman" w:hAnsi="Times New Roman" w:cs="Times New Roman"/>
          <w:color w:val="000000"/>
        </w:rPr>
        <w:t>stav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delovi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izgrađeni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mokro</w:t>
      </w:r>
      <w:r w:rsidR="00D36CF6" w:rsidRPr="00D36CF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suva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pritiskom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zamrzavanja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toga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termički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izolovani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uzidani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Ventil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prelasku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vidnom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pristupačnom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tamo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zamrzavanja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čitljivim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upozorenjem</w:t>
      </w:r>
      <w:r w:rsidR="00D36CF6" w:rsidRPr="00D36CF6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Ventil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puštanje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>”.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Ispunjavanje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položajem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automatski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60 s,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nesmetano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ispuštanje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vazduha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pražnjenje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VII. </w:t>
      </w:r>
      <w:r w:rsidR="00A562F7">
        <w:rPr>
          <w:rFonts w:ascii="Times New Roman" w:hAnsi="Times New Roman" w:cs="Times New Roman"/>
          <w:color w:val="000000"/>
        </w:rPr>
        <w:t>PRIKLjUČAK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ZA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VATROGASNA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VOZILA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29.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predviđa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priključak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smestiti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uočljivom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fasadi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glavnom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60 cm </w:t>
      </w:r>
      <w:r>
        <w:rPr>
          <w:rFonts w:ascii="Times New Roman" w:hAnsi="Times New Roman" w:cs="Times New Roman"/>
          <w:color w:val="000000"/>
        </w:rPr>
        <w:t>do</w:t>
      </w:r>
      <w:r w:rsidR="00D36CF6" w:rsidRPr="00D36CF6">
        <w:rPr>
          <w:rFonts w:ascii="Times New Roman" w:hAnsi="Times New Roman" w:cs="Times New Roman"/>
          <w:color w:val="000000"/>
        </w:rPr>
        <w:t xml:space="preserve"> 120 cm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terena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Priključak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potisna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ključem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Pored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ormana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tabla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čitljivim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upozorenjem</w:t>
      </w:r>
      <w:r w:rsidR="00D36CF6" w:rsidRPr="00D36CF6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Priključak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</w:t>
      </w:r>
      <w:r w:rsidR="00D36CF6" w:rsidRPr="00D36CF6">
        <w:rPr>
          <w:rFonts w:ascii="Times New Roman" w:hAnsi="Times New Roman" w:cs="Times New Roman"/>
          <w:color w:val="000000"/>
        </w:rPr>
        <w:t>”.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VIII. </w:t>
      </w:r>
      <w:r w:rsidR="00A562F7">
        <w:rPr>
          <w:rFonts w:ascii="Times New Roman" w:hAnsi="Times New Roman" w:cs="Times New Roman"/>
          <w:color w:val="000000"/>
        </w:rPr>
        <w:t>KONTROLISANjE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I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ODRŽAVANjE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30.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kontrolnoj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mlaznici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najnepovoljnijim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položajem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priključni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šaht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pumpnu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stanicu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istovremenom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D36CF6" w:rsidRPr="00D36C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mlaznice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usnikom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prečnika</w:t>
      </w:r>
      <w:r w:rsidR="00D36CF6" w:rsidRPr="00D36CF6">
        <w:rPr>
          <w:rFonts w:ascii="Times New Roman" w:hAnsi="Times New Roman" w:cs="Times New Roman"/>
          <w:color w:val="000000"/>
        </w:rPr>
        <w:t xml:space="preserve"> 16 mm,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mlaznice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usnikom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prečnika</w:t>
      </w:r>
      <w:r w:rsidR="00D36CF6" w:rsidRPr="00D36CF6">
        <w:rPr>
          <w:rFonts w:ascii="Times New Roman" w:hAnsi="Times New Roman" w:cs="Times New Roman"/>
          <w:color w:val="000000"/>
        </w:rPr>
        <w:t xml:space="preserve"> 12 mm.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Pritisak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isticanju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mlazu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36CF6" w:rsidRPr="00D36CF6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parametar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merenja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navodi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Održavanje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spoljnih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hidranata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standardom</w:t>
      </w:r>
      <w:r w:rsidR="00D36CF6" w:rsidRPr="00D36CF6">
        <w:rPr>
          <w:rFonts w:ascii="Times New Roman" w:hAnsi="Times New Roman" w:cs="Times New Roman"/>
          <w:color w:val="000000"/>
        </w:rPr>
        <w:t xml:space="preserve"> SRPS EN 671-3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Otklanjanje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nedostataka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računa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31.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Svaki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dostupan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slobodan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Svaki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32.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Suvi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mokro</w:t>
      </w:r>
      <w:r w:rsidR="00D36CF6" w:rsidRPr="00D36CF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suve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kontroliše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vodom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D36CF6">
      <w:pPr>
        <w:spacing w:after="120"/>
        <w:jc w:val="center"/>
        <w:rPr>
          <w:rFonts w:ascii="Times New Roman" w:hAnsi="Times New Roman" w:cs="Times New Roman"/>
        </w:rPr>
      </w:pPr>
      <w:r w:rsidRPr="00D36CF6">
        <w:rPr>
          <w:rFonts w:ascii="Times New Roman" w:hAnsi="Times New Roman" w:cs="Times New Roman"/>
          <w:color w:val="000000"/>
        </w:rPr>
        <w:t xml:space="preserve">IX. </w:t>
      </w:r>
      <w:r w:rsidR="00A562F7">
        <w:rPr>
          <w:rFonts w:ascii="Times New Roman" w:hAnsi="Times New Roman" w:cs="Times New Roman"/>
          <w:color w:val="000000"/>
        </w:rPr>
        <w:t>ZAVRŠNE</w:t>
      </w:r>
      <w:r w:rsidRPr="00D36CF6">
        <w:rPr>
          <w:rFonts w:ascii="Times New Roman" w:hAnsi="Times New Roman" w:cs="Times New Roman"/>
          <w:color w:val="000000"/>
        </w:rPr>
        <w:t xml:space="preserve"> </w:t>
      </w:r>
      <w:r w:rsidR="00A562F7">
        <w:rPr>
          <w:rFonts w:ascii="Times New Roman" w:hAnsi="Times New Roman" w:cs="Times New Roman"/>
          <w:color w:val="000000"/>
        </w:rPr>
        <w:t>ODREDBE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33.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Odredbe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izgrađena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rekonstruisana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D36CF6" w:rsidRPr="00D36CF6">
        <w:rPr>
          <w:rFonts w:ascii="Times New Roman" w:hAnsi="Times New Roman" w:cs="Times New Roman"/>
          <w:color w:val="000000"/>
        </w:rPr>
        <w:t xml:space="preserve">. 30. </w:t>
      </w:r>
      <w:r>
        <w:rPr>
          <w:rFonts w:ascii="Times New Roman" w:hAnsi="Times New Roman" w:cs="Times New Roman"/>
          <w:color w:val="000000"/>
        </w:rPr>
        <w:t>i</w:t>
      </w:r>
      <w:r w:rsidR="00D36CF6" w:rsidRPr="00D36CF6">
        <w:rPr>
          <w:rFonts w:ascii="Times New Roman" w:hAnsi="Times New Roman" w:cs="Times New Roman"/>
          <w:color w:val="000000"/>
        </w:rPr>
        <w:t xml:space="preserve"> 31.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periodično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Periodično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kontrolisanje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izgrađene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rekonstruisane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rekonstrukcije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34.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normativima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D36CF6" w:rsidRPr="00D36CF6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list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SFRJ</w:t>
      </w:r>
      <w:r w:rsidR="00D36CF6" w:rsidRPr="00D36CF6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D36CF6" w:rsidRPr="00D36CF6">
        <w:rPr>
          <w:rFonts w:ascii="Times New Roman" w:hAnsi="Times New Roman" w:cs="Times New Roman"/>
          <w:color w:val="000000"/>
        </w:rPr>
        <w:t xml:space="preserve"> 30/91).</w:t>
      </w:r>
    </w:p>
    <w:p w:rsidR="00AF658B" w:rsidRPr="00D36CF6" w:rsidRDefault="00A562F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36CF6" w:rsidRPr="00D36CF6">
        <w:rPr>
          <w:rFonts w:ascii="Times New Roman" w:hAnsi="Times New Roman" w:cs="Times New Roman"/>
          <w:color w:val="000000"/>
        </w:rPr>
        <w:t xml:space="preserve"> 35.</w:t>
      </w:r>
    </w:p>
    <w:p w:rsidR="00AF658B" w:rsidRPr="00D36CF6" w:rsidRDefault="00A562F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D36CF6" w:rsidRPr="00D36CF6">
        <w:rPr>
          <w:rFonts w:ascii="Times New Roman" w:hAnsi="Times New Roman" w:cs="Times New Roman"/>
          <w:color w:val="000000"/>
        </w:rPr>
        <w:t>”.</w:t>
      </w:r>
    </w:p>
    <w:p w:rsidR="00AF658B" w:rsidRPr="00D36CF6" w:rsidRDefault="00A562F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Broj</w:t>
      </w:r>
      <w:r w:rsidR="00D36CF6" w:rsidRPr="00D36CF6">
        <w:rPr>
          <w:rFonts w:ascii="Times New Roman" w:hAnsi="Times New Roman" w:cs="Times New Roman"/>
          <w:color w:val="000000"/>
        </w:rPr>
        <w:t xml:space="preserve"> 01-12067/17-3</w:t>
      </w:r>
    </w:p>
    <w:p w:rsidR="00AF658B" w:rsidRPr="00D36CF6" w:rsidRDefault="00A562F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D36CF6" w:rsidRPr="00D36CF6">
        <w:rPr>
          <w:rFonts w:ascii="Times New Roman" w:hAnsi="Times New Roman" w:cs="Times New Roman"/>
          <w:color w:val="000000"/>
        </w:rPr>
        <w:t xml:space="preserve">, 5. </w:t>
      </w:r>
      <w:r>
        <w:rPr>
          <w:rFonts w:ascii="Times New Roman" w:hAnsi="Times New Roman" w:cs="Times New Roman"/>
          <w:color w:val="000000"/>
        </w:rPr>
        <w:t>januara</w:t>
      </w:r>
      <w:r w:rsidR="00D36CF6" w:rsidRPr="00D36CF6">
        <w:rPr>
          <w:rFonts w:ascii="Times New Roman" w:hAnsi="Times New Roman" w:cs="Times New Roman"/>
          <w:color w:val="000000"/>
        </w:rPr>
        <w:t xml:space="preserve"> 2018. </w:t>
      </w:r>
      <w:r>
        <w:rPr>
          <w:rFonts w:ascii="Times New Roman" w:hAnsi="Times New Roman" w:cs="Times New Roman"/>
          <w:color w:val="000000"/>
        </w:rPr>
        <w:t>godine</w:t>
      </w:r>
    </w:p>
    <w:p w:rsidR="00AF658B" w:rsidRPr="00D36CF6" w:rsidRDefault="00A562F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36CF6" w:rsidRPr="00D36CF6">
        <w:rPr>
          <w:rFonts w:ascii="Times New Roman" w:hAnsi="Times New Roman" w:cs="Times New Roman"/>
          <w:color w:val="000000"/>
        </w:rPr>
        <w:t>,</w:t>
      </w:r>
    </w:p>
    <w:p w:rsidR="00AF658B" w:rsidRPr="00D36CF6" w:rsidRDefault="00A562F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Nebojša</w:t>
      </w:r>
      <w:r w:rsidR="00D36CF6" w:rsidRPr="00D36CF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Stefanović</w:t>
      </w:r>
      <w:r w:rsidR="00D36CF6" w:rsidRPr="00D36CF6">
        <w:rPr>
          <w:rFonts w:ascii="Times New Roman" w:hAnsi="Times New Roman" w:cs="Times New Roman"/>
          <w:b/>
          <w:color w:val="000000"/>
        </w:rPr>
        <w:t>,</w:t>
      </w:r>
      <w:r w:rsidR="00D36CF6" w:rsidRPr="00D36C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D36CF6" w:rsidRPr="00D36CF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D36CF6" w:rsidRPr="00D36CF6">
        <w:rPr>
          <w:rFonts w:ascii="Times New Roman" w:hAnsi="Times New Roman" w:cs="Times New Roman"/>
          <w:color w:val="000000"/>
        </w:rPr>
        <w:t>.</w:t>
      </w:r>
    </w:p>
    <w:sectPr w:rsidR="00AF658B" w:rsidRPr="00D36CF6" w:rsidSect="00AF65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F658B"/>
    <w:rsid w:val="0021117A"/>
    <w:rsid w:val="00A562F7"/>
    <w:rsid w:val="00AF658B"/>
    <w:rsid w:val="00D3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F6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F65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5263</Words>
  <Characters>30003</Characters>
  <Application>Microsoft Office Word</Application>
  <DocSecurity>0</DocSecurity>
  <Lines>250</Lines>
  <Paragraphs>70</Paragraphs>
  <ScaleCrop>false</ScaleCrop>
  <Company/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2018-04-13T06:53:00Z</dcterms:created>
  <dcterms:modified xsi:type="dcterms:W3CDTF">2018-04-17T09:42:00Z</dcterms:modified>
</cp:coreProperties>
</file>